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D6A0" w14:textId="77777777" w:rsidR="003E7B3B" w:rsidRDefault="003E7B3B" w:rsidP="003E7B3B">
      <w:pPr>
        <w:spacing w:after="120" w:line="276" w:lineRule="auto"/>
        <w:rPr>
          <w:rFonts w:ascii="Trebuchet MS" w:hAnsi="Trebuchet MS"/>
          <w:b/>
          <w:bCs/>
          <w:sz w:val="22"/>
        </w:rPr>
      </w:pPr>
      <w:r>
        <w:rPr>
          <w:rFonts w:ascii="Trebuchet MS" w:hAnsi="Trebuchet MS"/>
          <w:b/>
          <w:bCs/>
          <w:sz w:val="22"/>
        </w:rPr>
        <w:t>CAPITOLUL VII</w:t>
      </w:r>
      <w:r>
        <w:rPr>
          <w:rFonts w:ascii="Trebuchet MS" w:hAnsi="Trebuchet MS"/>
          <w:b/>
          <w:bCs/>
          <w:sz w:val="22"/>
          <w:lang w:val="en-US"/>
        </w:rPr>
        <w:t>: Descrierea planului de ac</w:t>
      </w:r>
      <w:r>
        <w:rPr>
          <w:rFonts w:ascii="Trebuchet MS" w:hAnsi="Trebuchet MS"/>
          <w:b/>
          <w:bCs/>
          <w:sz w:val="22"/>
        </w:rPr>
        <w:t xml:space="preserve">țiune </w:t>
      </w:r>
    </w:p>
    <w:p w14:paraId="102D7665" w14:textId="77777777" w:rsidR="003E7B3B" w:rsidRDefault="003E7B3B" w:rsidP="003E7B3B">
      <w:pPr>
        <w:spacing w:line="276" w:lineRule="auto"/>
        <w:jc w:val="both"/>
        <w:rPr>
          <w:rFonts w:ascii="Trebuchet MS" w:hAnsi="Trebuchet MS"/>
          <w:sz w:val="22"/>
        </w:rPr>
      </w:pPr>
      <w:r>
        <w:rPr>
          <w:rFonts w:ascii="Trebuchet MS" w:hAnsi="Trebuchet MS"/>
          <w:sz w:val="22"/>
        </w:rPr>
        <w:t xml:space="preserve">Planul de acţiuni este un plan detaliat, pe termen scurt şi mediu, care descrie acţiunile şi paşii necesari aplicării strategiei şi atingerii obiectivelor. Este necesar ca aceste acţiuni să fie prioritizate, astfel încât realizarea lor şi atingerea progresivă a ţintelor pe termen mediu şi scurt să ducă la îndeplinirea obiectivelor stabilite pe termen lung. </w:t>
      </w:r>
    </w:p>
    <w:p w14:paraId="3B23B1FF" w14:textId="77777777" w:rsidR="003E7B3B" w:rsidRDefault="003E7B3B" w:rsidP="003E7B3B">
      <w:pPr>
        <w:shd w:val="clear" w:color="auto" w:fill="DEEAF6"/>
        <w:spacing w:line="276" w:lineRule="auto"/>
        <w:jc w:val="both"/>
        <w:rPr>
          <w:rFonts w:ascii="Trebuchet MS" w:hAnsi="Trebuchet MS"/>
          <w:sz w:val="22"/>
        </w:rPr>
      </w:pPr>
      <w:r>
        <w:rPr>
          <w:rFonts w:ascii="Trebuchet MS" w:hAnsi="Trebuchet MS"/>
          <w:b/>
          <w:bCs/>
          <w:sz w:val="22"/>
          <w:lang w:val="fr-FR"/>
        </w:rPr>
        <w:t>Planului de ac</w:t>
      </w:r>
      <w:r>
        <w:rPr>
          <w:rFonts w:ascii="Trebuchet MS" w:hAnsi="Trebuchet MS"/>
          <w:b/>
          <w:bCs/>
          <w:sz w:val="22"/>
        </w:rPr>
        <w:t xml:space="preserve">țiune </w:t>
      </w:r>
      <w:r>
        <w:rPr>
          <w:rFonts w:ascii="Trebuchet MS" w:hAnsi="Trebuchet MS"/>
          <w:sz w:val="22"/>
        </w:rPr>
        <w:t xml:space="preserve">conţine: </w:t>
      </w:r>
    </w:p>
    <w:p w14:paraId="63704B0B" w14:textId="77777777" w:rsidR="003E7B3B" w:rsidRDefault="003E7B3B" w:rsidP="003E7B3B">
      <w:pPr>
        <w:numPr>
          <w:ilvl w:val="0"/>
          <w:numId w:val="1"/>
        </w:numPr>
        <w:shd w:val="clear" w:color="auto" w:fill="DEEAF6"/>
        <w:spacing w:line="276" w:lineRule="auto"/>
        <w:jc w:val="both"/>
        <w:rPr>
          <w:rFonts w:ascii="Trebuchet MS" w:hAnsi="Trebuchet MS"/>
          <w:sz w:val="22"/>
        </w:rPr>
      </w:pPr>
      <w:r>
        <w:rPr>
          <w:rFonts w:ascii="Trebuchet MS" w:hAnsi="Trebuchet MS"/>
          <w:sz w:val="22"/>
        </w:rPr>
        <w:t>calendarul estimativ de activități,</w:t>
      </w:r>
    </w:p>
    <w:p w14:paraId="65FBC2CE" w14:textId="77777777" w:rsidR="003E7B3B" w:rsidRDefault="003E7B3B" w:rsidP="003E7B3B">
      <w:pPr>
        <w:numPr>
          <w:ilvl w:val="0"/>
          <w:numId w:val="1"/>
        </w:numPr>
        <w:shd w:val="clear" w:color="auto" w:fill="DEEAF6"/>
        <w:spacing w:line="276" w:lineRule="auto"/>
        <w:jc w:val="both"/>
        <w:rPr>
          <w:rFonts w:ascii="Trebuchet MS" w:hAnsi="Trebuchet MS"/>
          <w:sz w:val="22"/>
        </w:rPr>
      </w:pPr>
      <w:r>
        <w:rPr>
          <w:rFonts w:ascii="Trebuchet MS" w:hAnsi="Trebuchet MS"/>
          <w:sz w:val="22"/>
        </w:rPr>
        <w:t>responsabilitatea implementării acțiunilor,</w:t>
      </w:r>
    </w:p>
    <w:p w14:paraId="066D4290" w14:textId="77777777" w:rsidR="003E7B3B" w:rsidRDefault="003E7B3B" w:rsidP="003E7B3B">
      <w:pPr>
        <w:numPr>
          <w:ilvl w:val="0"/>
          <w:numId w:val="1"/>
        </w:numPr>
        <w:shd w:val="clear" w:color="auto" w:fill="DEEAF6"/>
        <w:spacing w:line="276" w:lineRule="auto"/>
        <w:jc w:val="both"/>
        <w:rPr>
          <w:rFonts w:ascii="Trebuchet MS" w:hAnsi="Trebuchet MS"/>
          <w:sz w:val="22"/>
        </w:rPr>
      </w:pPr>
      <w:r>
        <w:rPr>
          <w:rFonts w:ascii="Trebuchet MS" w:hAnsi="Trebuchet MS"/>
          <w:sz w:val="22"/>
        </w:rPr>
        <w:t>resursele financiare și materiale necesare.</w:t>
      </w:r>
    </w:p>
    <w:p w14:paraId="289F4D1B" w14:textId="77777777" w:rsidR="003E7B3B" w:rsidRDefault="003E7B3B" w:rsidP="003E7B3B">
      <w:pPr>
        <w:spacing w:line="276" w:lineRule="auto"/>
        <w:jc w:val="both"/>
        <w:rPr>
          <w:rFonts w:ascii="Trebuchet MS" w:hAnsi="Trebuchet MS"/>
          <w:sz w:val="22"/>
        </w:rPr>
      </w:pPr>
      <w:r>
        <w:rPr>
          <w:rFonts w:ascii="Trebuchet MS" w:hAnsi="Trebuchet MS"/>
          <w:sz w:val="22"/>
        </w:rPr>
        <w:t xml:space="preserve">Planul Local de Acţiune (PLA) este un instrument de planificare şi implementare şi conţine un set de activitati  ce se vor desfășura  într-un termen determinat în scopul realizării obiectivelor generale fixate într-o strategie. PLA va putea fi revizuit periodic, astfel încât obiectivele fixate să nu fie afectate. </w:t>
      </w:r>
    </w:p>
    <w:p w14:paraId="025DC088" w14:textId="77777777" w:rsidR="003E7B3B" w:rsidRDefault="003E7B3B" w:rsidP="003E7B3B">
      <w:pPr>
        <w:spacing w:line="276" w:lineRule="auto"/>
        <w:jc w:val="both"/>
        <w:rPr>
          <w:rFonts w:ascii="Trebuchet MS" w:hAnsi="Trebuchet MS"/>
          <w:sz w:val="22"/>
        </w:rPr>
      </w:pPr>
      <w:r>
        <w:rPr>
          <w:rFonts w:ascii="Trebuchet MS" w:hAnsi="Trebuchet MS"/>
          <w:sz w:val="22"/>
        </w:rPr>
        <w:t>Implementarea acțiunilor cuprinse în SDL se vor derula sub responsabilitatea GAL ”DRUMUL VOIEVOZILOR”. Lansarea sesiunilor de primire proiecte, evaluarea și selecția proiectelor vor fi în responsabilitatea Comitetului de selecție al GAL. Soluționarea contestațiilor va fi în responsabilitatea Comisiei de contestații a GAL.</w:t>
      </w:r>
    </w:p>
    <w:p w14:paraId="61AFCBF7" w14:textId="77777777" w:rsidR="003E7B3B" w:rsidRDefault="003E7B3B" w:rsidP="003E7B3B">
      <w:pPr>
        <w:spacing w:line="276" w:lineRule="auto"/>
        <w:jc w:val="both"/>
        <w:rPr>
          <w:rFonts w:ascii="Trebuchet MS" w:hAnsi="Trebuchet MS"/>
          <w:sz w:val="22"/>
        </w:rPr>
      </w:pPr>
      <w:r>
        <w:rPr>
          <w:rFonts w:ascii="Trebuchet MS" w:hAnsi="Trebuchet MS"/>
          <w:sz w:val="22"/>
        </w:rPr>
        <w:t xml:space="preserve">În situația în care va fi necesar, activitățile de intocmire a Ghidului solicitantului, procedurilor de evaluare/selectare, evaluarea proiectelor, vor fi externalizate sau se va angaja personal de specialitate.     </w:t>
      </w:r>
    </w:p>
    <w:p w14:paraId="3030A32B" w14:textId="77777777" w:rsidR="003E7B3B" w:rsidRDefault="003E7B3B" w:rsidP="003E7B3B">
      <w:pPr>
        <w:shd w:val="clear" w:color="auto" w:fill="FBE4D5"/>
        <w:spacing w:line="276" w:lineRule="auto"/>
        <w:jc w:val="both"/>
        <w:rPr>
          <w:rFonts w:ascii="Trebuchet MS" w:hAnsi="Trebuchet MS"/>
          <w:sz w:val="22"/>
        </w:rPr>
      </w:pPr>
      <w:r>
        <w:rPr>
          <w:rFonts w:ascii="Trebuchet MS" w:hAnsi="Trebuchet MS"/>
          <w:sz w:val="22"/>
        </w:rPr>
        <w:t>Planul de acțiune pentru perioada de implementare a SDL GAL ”DRUMUL VOIEVOZILOR” include:</w:t>
      </w:r>
    </w:p>
    <w:p w14:paraId="54F06A55" w14:textId="77777777" w:rsidR="003E7B3B" w:rsidRDefault="003E7B3B" w:rsidP="003E7B3B">
      <w:pPr>
        <w:shd w:val="clear" w:color="auto" w:fill="DEEAF6"/>
        <w:spacing w:line="276" w:lineRule="auto"/>
        <w:jc w:val="both"/>
        <w:rPr>
          <w:rFonts w:ascii="Trebuchet MS" w:hAnsi="Trebuchet MS"/>
          <w:b/>
          <w:sz w:val="22"/>
        </w:rPr>
      </w:pPr>
      <w:r>
        <w:rPr>
          <w:rFonts w:ascii="Trebuchet MS" w:hAnsi="Trebuchet MS"/>
          <w:sz w:val="22"/>
        </w:rPr>
        <w:t xml:space="preserve">a. </w:t>
      </w:r>
      <w:r>
        <w:rPr>
          <w:rFonts w:ascii="Trebuchet MS" w:hAnsi="Trebuchet MS"/>
          <w:b/>
          <w:sz w:val="22"/>
        </w:rPr>
        <w:t>calendarul estimativ pe activități</w:t>
      </w:r>
    </w:p>
    <w:p w14:paraId="262C242F" w14:textId="77777777" w:rsidR="003E7B3B" w:rsidRDefault="003E7B3B" w:rsidP="003E7B3B">
      <w:pPr>
        <w:shd w:val="clear" w:color="auto" w:fill="DEEAF6"/>
        <w:spacing w:line="276" w:lineRule="auto"/>
        <w:jc w:val="both"/>
        <w:rPr>
          <w:rFonts w:ascii="Trebuchet MS" w:hAnsi="Trebuchet MS"/>
          <w:sz w:val="22"/>
        </w:rPr>
      </w:pPr>
      <w:r>
        <w:rPr>
          <w:rFonts w:ascii="Trebuchet MS" w:hAnsi="Trebuchet MS"/>
          <w:sz w:val="22"/>
        </w:rPr>
        <w:t>b.</w:t>
      </w:r>
      <w:r>
        <w:rPr>
          <w:rFonts w:ascii="Trebuchet MS" w:hAnsi="Trebuchet MS"/>
          <w:b/>
          <w:sz w:val="22"/>
        </w:rPr>
        <w:t>responsabilii pentru implementarea acțiunilor</w:t>
      </w:r>
      <w:r>
        <w:rPr>
          <w:rFonts w:ascii="Trebuchet MS" w:hAnsi="Trebuchet MS"/>
          <w:sz w:val="22"/>
        </w:rPr>
        <w:t xml:space="preserve"> (personal angajat/ servicii externalizate/ parteneri etc.)</w:t>
      </w:r>
    </w:p>
    <w:p w14:paraId="0674E8BC" w14:textId="77777777" w:rsidR="003E7B3B" w:rsidRDefault="003E7B3B" w:rsidP="003E7B3B">
      <w:pPr>
        <w:shd w:val="clear" w:color="auto" w:fill="DEEAF6"/>
        <w:spacing w:line="276" w:lineRule="auto"/>
        <w:jc w:val="both"/>
        <w:rPr>
          <w:rFonts w:ascii="Trebuchet MS" w:hAnsi="Trebuchet MS"/>
          <w:sz w:val="22"/>
        </w:rPr>
      </w:pPr>
      <w:r>
        <w:rPr>
          <w:rFonts w:ascii="Trebuchet MS" w:hAnsi="Trebuchet MS"/>
          <w:sz w:val="22"/>
        </w:rPr>
        <w:t xml:space="preserve">c. </w:t>
      </w:r>
      <w:r>
        <w:rPr>
          <w:rFonts w:ascii="Trebuchet MS" w:hAnsi="Trebuchet MS"/>
          <w:b/>
          <w:sz w:val="22"/>
        </w:rPr>
        <w:t>resursele financiare și materiale necesare pentru desfășurarea acțiunilor propuse</w:t>
      </w:r>
    </w:p>
    <w:p w14:paraId="4E11169D" w14:textId="77777777" w:rsidR="003E7B3B" w:rsidRDefault="003E7B3B" w:rsidP="003E7B3B">
      <w:pPr>
        <w:spacing w:line="276" w:lineRule="auto"/>
        <w:jc w:val="both"/>
        <w:rPr>
          <w:rFonts w:ascii="Trebuchet MS" w:hAnsi="Trebuchet MS" w:cs="Calibri,Bold"/>
          <w:bCs/>
          <w:sz w:val="22"/>
        </w:rPr>
      </w:pPr>
      <w:r>
        <w:rPr>
          <w:rFonts w:ascii="Trebuchet MS" w:hAnsi="Trebuchet MS" w:cs="Calibri,Bold"/>
          <w:bCs/>
          <w:sz w:val="22"/>
        </w:rPr>
        <w:t>Detalierea activităților GAL pentru implementarea SDL sunt prezentate astfel:</w:t>
      </w:r>
    </w:p>
    <w:p w14:paraId="009D6639" w14:textId="77777777" w:rsidR="003E7B3B" w:rsidRDefault="003E7B3B" w:rsidP="003E7B3B">
      <w:pPr>
        <w:pStyle w:val="ListParagraph"/>
        <w:numPr>
          <w:ilvl w:val="0"/>
          <w:numId w:val="2"/>
        </w:numPr>
        <w:shd w:val="clear" w:color="auto" w:fill="FBE4D5"/>
        <w:spacing w:line="276" w:lineRule="auto"/>
        <w:jc w:val="both"/>
        <w:rPr>
          <w:rFonts w:ascii="Trebuchet MS" w:hAnsi="Trebuchet MS"/>
          <w:b/>
          <w:sz w:val="22"/>
        </w:rPr>
      </w:pPr>
      <w:r>
        <w:rPr>
          <w:rFonts w:ascii="Trebuchet MS" w:hAnsi="Trebuchet MS" w:cs="Calibri,Bold"/>
          <w:bCs/>
          <w:sz w:val="22"/>
        </w:rPr>
        <w:t xml:space="preserve"> </w:t>
      </w:r>
      <w:r>
        <w:rPr>
          <w:rFonts w:ascii="Trebuchet MS" w:hAnsi="Trebuchet MS"/>
          <w:b/>
          <w:sz w:val="22"/>
        </w:rPr>
        <w:t>Calendarul estimativ de activități</w:t>
      </w:r>
    </w:p>
    <w:p w14:paraId="31673C60" w14:textId="77777777" w:rsidR="003E7B3B" w:rsidRDefault="003E7B3B" w:rsidP="003E7B3B">
      <w:pPr>
        <w:spacing w:line="276" w:lineRule="auto"/>
        <w:jc w:val="both"/>
        <w:rPr>
          <w:rFonts w:ascii="Trebuchet MS" w:hAnsi="Trebuchet MS"/>
          <w:sz w:val="22"/>
        </w:rPr>
      </w:pPr>
      <w:r>
        <w:rPr>
          <w:rFonts w:ascii="Trebuchet MS" w:hAnsi="Trebuchet MS"/>
          <w:sz w:val="22"/>
        </w:rPr>
        <w:t>Activitățile pentru implementarea SDL vor începe la data notificării AM privind selecția SDL și finalizarea bugetului SDL.</w:t>
      </w:r>
    </w:p>
    <w:p w14:paraId="6083F409" w14:textId="77777777" w:rsidR="003E7B3B" w:rsidRDefault="003E7B3B" w:rsidP="003E7B3B">
      <w:pPr>
        <w:spacing w:line="276" w:lineRule="auto"/>
        <w:jc w:val="both"/>
        <w:rPr>
          <w:rFonts w:ascii="Trebuchet MS" w:hAnsi="Trebuchet MS"/>
          <w:sz w:val="22"/>
        </w:rPr>
      </w:pPr>
      <w:r>
        <w:rPr>
          <w:rFonts w:ascii="Trebuchet MS" w:hAnsi="Trebuchet MS"/>
          <w:sz w:val="22"/>
        </w:rPr>
        <w:t>În primul semestru se vor desfășura activități de animare și promovare a măsurilor incluse în SDL, acordându-se prioritate măsurii M8 - investiții in infrastructura socială , dar și măsurilor care prevăd lucrări de investiții care necesită o perioadă mai mare de timp pentru execuție</w:t>
      </w:r>
      <w:r>
        <w:rPr>
          <w:rFonts w:ascii="Trebuchet MS" w:hAnsi="Trebuchet MS" w:cs="Calibri,Bold"/>
          <w:bCs/>
          <w:sz w:val="22"/>
        </w:rPr>
        <w:t xml:space="preserve"> -M6</w:t>
      </w:r>
      <w:r>
        <w:rPr>
          <w:rFonts w:ascii="Trebuchet MS" w:hAnsi="Trebuchet MS"/>
          <w:sz w:val="22"/>
        </w:rPr>
        <w:t>.</w:t>
      </w:r>
    </w:p>
    <w:p w14:paraId="4135D559" w14:textId="77777777" w:rsidR="003E7B3B" w:rsidRDefault="003E7B3B" w:rsidP="003E7B3B">
      <w:pPr>
        <w:spacing w:line="276" w:lineRule="auto"/>
        <w:jc w:val="both"/>
        <w:rPr>
          <w:rFonts w:ascii="Trebuchet MS" w:hAnsi="Trebuchet MS"/>
          <w:sz w:val="22"/>
        </w:rPr>
      </w:pPr>
      <w:r>
        <w:rPr>
          <w:rFonts w:ascii="Trebuchet MS" w:hAnsi="Trebuchet MS"/>
          <w:sz w:val="22"/>
        </w:rPr>
        <w:t>Derularea celorlalte activități se va eșalona pe perioada de implementare a contractului de finanțare, în așa fel încât toate proiectele să poată fi finalizate și cu plăți efectuate până la sfârșitul perioadei de programare 2014-2020.</w:t>
      </w:r>
    </w:p>
    <w:p w14:paraId="494691D8" w14:textId="77777777" w:rsidR="003E7B3B" w:rsidRDefault="003E7B3B" w:rsidP="003E7B3B">
      <w:pPr>
        <w:shd w:val="clear" w:color="auto" w:fill="FBE4D5"/>
        <w:spacing w:line="276" w:lineRule="auto"/>
        <w:jc w:val="both"/>
        <w:rPr>
          <w:rFonts w:ascii="Trebuchet MS" w:hAnsi="Trebuchet MS"/>
          <w:sz w:val="22"/>
        </w:rPr>
      </w:pPr>
      <w:r>
        <w:rPr>
          <w:rFonts w:ascii="Trebuchet MS" w:hAnsi="Trebuchet MS"/>
          <w:sz w:val="22"/>
        </w:rPr>
        <w:t xml:space="preserve">Se estimează ca implementarea SDL a asocierii ”DRUMUL VOIEVOZILOR” să se deruleze pe etape, astfel: </w:t>
      </w:r>
    </w:p>
    <w:p w14:paraId="3355F57E" w14:textId="77777777" w:rsidR="003E7B3B" w:rsidRDefault="003E7B3B" w:rsidP="003E7B3B">
      <w:pPr>
        <w:spacing w:line="276" w:lineRule="auto"/>
        <w:jc w:val="both"/>
        <w:rPr>
          <w:rFonts w:ascii="Trebuchet MS" w:hAnsi="Trebuchet MS"/>
          <w:sz w:val="22"/>
        </w:rPr>
      </w:pPr>
    </w:p>
    <w:tbl>
      <w:tblPr>
        <w:tblW w:w="0" w:type="auto"/>
        <w:tblLook w:val="01E0" w:firstRow="1" w:lastRow="1" w:firstColumn="1" w:lastColumn="1" w:noHBand="0" w:noVBand="0"/>
      </w:tblPr>
      <w:tblGrid>
        <w:gridCol w:w="1891"/>
        <w:gridCol w:w="1433"/>
        <w:gridCol w:w="1352"/>
        <w:gridCol w:w="1381"/>
        <w:gridCol w:w="1743"/>
        <w:gridCol w:w="1409"/>
      </w:tblGrid>
      <w:tr w:rsidR="003E7B3B" w14:paraId="3ACBF031" w14:textId="77777777" w:rsidTr="003E7B3B">
        <w:tc>
          <w:tcPr>
            <w:tcW w:w="1783" w:type="dxa"/>
            <w:hideMark/>
          </w:tcPr>
          <w:p w14:paraId="03B7BD71"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Măsura/măsurile SDL</w:t>
            </w:r>
          </w:p>
        </w:tc>
        <w:tc>
          <w:tcPr>
            <w:tcW w:w="1433" w:type="dxa"/>
            <w:hideMark/>
          </w:tcPr>
          <w:p w14:paraId="3AEB4349"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Animare</w:t>
            </w:r>
          </w:p>
          <w:p w14:paraId="6E8119F0"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 xml:space="preserve">(semestrul*) </w:t>
            </w:r>
          </w:p>
        </w:tc>
        <w:tc>
          <w:tcPr>
            <w:tcW w:w="1352" w:type="dxa"/>
            <w:hideMark/>
          </w:tcPr>
          <w:p w14:paraId="69CD04E5"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Lansare sesiuni</w:t>
            </w:r>
          </w:p>
          <w:p w14:paraId="7941B701"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(semestrul)</w:t>
            </w:r>
          </w:p>
        </w:tc>
        <w:tc>
          <w:tcPr>
            <w:tcW w:w="1381" w:type="dxa"/>
            <w:hideMark/>
          </w:tcPr>
          <w:p w14:paraId="69169E31"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Evaluare selectare</w:t>
            </w:r>
          </w:p>
          <w:p w14:paraId="23BFAF52"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(semestrul)</w:t>
            </w:r>
          </w:p>
        </w:tc>
        <w:tc>
          <w:tcPr>
            <w:tcW w:w="1743" w:type="dxa"/>
            <w:hideMark/>
          </w:tcPr>
          <w:p w14:paraId="0BB59763"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Implementare proiecte</w:t>
            </w:r>
          </w:p>
          <w:p w14:paraId="507D6617"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(semestrul)</w:t>
            </w:r>
          </w:p>
        </w:tc>
        <w:tc>
          <w:tcPr>
            <w:tcW w:w="1409" w:type="dxa"/>
            <w:hideMark/>
          </w:tcPr>
          <w:p w14:paraId="75C251E0" w14:textId="77777777" w:rsidR="003E7B3B" w:rsidRDefault="003E7B3B">
            <w:pPr>
              <w:spacing w:line="276" w:lineRule="auto"/>
              <w:jc w:val="center"/>
              <w:rPr>
                <w:rFonts w:ascii="Trebuchet MS" w:hAnsi="Trebuchet MS" w:cs="Calibri,Bold"/>
                <w:bCs/>
                <w:i/>
              </w:rPr>
            </w:pPr>
            <w:r>
              <w:rPr>
                <w:rFonts w:ascii="Trebuchet MS" w:hAnsi="Trebuchet MS" w:cs="Calibri,Bold"/>
                <w:bCs/>
                <w:i/>
                <w:sz w:val="22"/>
              </w:rPr>
              <w:t>Efectuare plăți (semestrul)</w:t>
            </w:r>
          </w:p>
        </w:tc>
      </w:tr>
      <w:tr w:rsidR="003E7B3B" w14:paraId="4D8ECA9D" w14:textId="77777777" w:rsidTr="003E7B3B">
        <w:tc>
          <w:tcPr>
            <w:tcW w:w="1783" w:type="dxa"/>
            <w:hideMark/>
          </w:tcPr>
          <w:p w14:paraId="3CCA5E58" w14:textId="77777777" w:rsidR="003E7B3B" w:rsidRDefault="003E7B3B">
            <w:pPr>
              <w:spacing w:line="276" w:lineRule="auto"/>
              <w:jc w:val="both"/>
              <w:rPr>
                <w:rFonts w:ascii="Trebuchet MS" w:hAnsi="Trebuchet MS" w:cs="Calibri,Bold"/>
                <w:bCs/>
              </w:rPr>
            </w:pPr>
            <w:r>
              <w:rPr>
                <w:rFonts w:ascii="Trebuchet MS" w:hAnsi="Trebuchet MS" w:cs="Calibri,Bold"/>
                <w:bCs/>
                <w:sz w:val="22"/>
              </w:rPr>
              <w:t>M8, M6</w:t>
            </w:r>
          </w:p>
        </w:tc>
        <w:tc>
          <w:tcPr>
            <w:tcW w:w="1433" w:type="dxa"/>
            <w:hideMark/>
          </w:tcPr>
          <w:p w14:paraId="3A9227F1"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w:t>
            </w:r>
          </w:p>
        </w:tc>
        <w:tc>
          <w:tcPr>
            <w:tcW w:w="1352" w:type="dxa"/>
            <w:hideMark/>
          </w:tcPr>
          <w:p w14:paraId="14131774"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II-VI</w:t>
            </w:r>
          </w:p>
        </w:tc>
        <w:tc>
          <w:tcPr>
            <w:tcW w:w="1381" w:type="dxa"/>
            <w:hideMark/>
          </w:tcPr>
          <w:p w14:paraId="3B777AE2"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II-VII</w:t>
            </w:r>
          </w:p>
        </w:tc>
        <w:tc>
          <w:tcPr>
            <w:tcW w:w="1743" w:type="dxa"/>
            <w:hideMark/>
          </w:tcPr>
          <w:p w14:paraId="71B1FD5A"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IV - X</w:t>
            </w:r>
          </w:p>
        </w:tc>
        <w:tc>
          <w:tcPr>
            <w:tcW w:w="1409" w:type="dxa"/>
            <w:hideMark/>
          </w:tcPr>
          <w:p w14:paraId="545149F3" w14:textId="77777777" w:rsidR="003E7B3B" w:rsidRDefault="003E7B3B">
            <w:pPr>
              <w:spacing w:line="276" w:lineRule="auto"/>
              <w:jc w:val="both"/>
              <w:rPr>
                <w:rFonts w:ascii="Trebuchet MS" w:hAnsi="Trebuchet MS" w:cs="Calibri,Bold"/>
                <w:bCs/>
              </w:rPr>
            </w:pPr>
            <w:r>
              <w:rPr>
                <w:rFonts w:ascii="Trebuchet MS" w:hAnsi="Trebuchet MS" w:cs="Calibri,Bold"/>
                <w:bCs/>
                <w:sz w:val="22"/>
              </w:rPr>
              <w:t>V-XV</w:t>
            </w:r>
          </w:p>
        </w:tc>
      </w:tr>
      <w:tr w:rsidR="003E7B3B" w14:paraId="079428A6" w14:textId="77777777" w:rsidTr="003E7B3B">
        <w:tc>
          <w:tcPr>
            <w:tcW w:w="1783" w:type="dxa"/>
            <w:hideMark/>
          </w:tcPr>
          <w:p w14:paraId="79FFD2FB" w14:textId="77777777" w:rsidR="003E7B3B" w:rsidRDefault="003E7B3B">
            <w:pPr>
              <w:spacing w:line="276" w:lineRule="auto"/>
              <w:jc w:val="both"/>
              <w:rPr>
                <w:rFonts w:ascii="Trebuchet MS" w:hAnsi="Trebuchet MS" w:cs="Calibri,Bold"/>
                <w:bCs/>
              </w:rPr>
            </w:pPr>
            <w:r>
              <w:rPr>
                <w:rFonts w:ascii="Trebuchet MS" w:hAnsi="Trebuchet MS" w:cs="Calibri,Bold"/>
                <w:bCs/>
                <w:sz w:val="22"/>
              </w:rPr>
              <w:lastRenderedPageBreak/>
              <w:t>M1, M4,M7</w:t>
            </w:r>
          </w:p>
        </w:tc>
        <w:tc>
          <w:tcPr>
            <w:tcW w:w="1433" w:type="dxa"/>
            <w:hideMark/>
          </w:tcPr>
          <w:p w14:paraId="664DE13D"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w:t>
            </w:r>
          </w:p>
        </w:tc>
        <w:tc>
          <w:tcPr>
            <w:tcW w:w="1352" w:type="dxa"/>
            <w:hideMark/>
          </w:tcPr>
          <w:p w14:paraId="54C6DD51"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III-VII</w:t>
            </w:r>
          </w:p>
        </w:tc>
        <w:tc>
          <w:tcPr>
            <w:tcW w:w="1381" w:type="dxa"/>
            <w:hideMark/>
          </w:tcPr>
          <w:p w14:paraId="6C254570"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III-VII</w:t>
            </w:r>
          </w:p>
        </w:tc>
        <w:tc>
          <w:tcPr>
            <w:tcW w:w="1743" w:type="dxa"/>
            <w:hideMark/>
          </w:tcPr>
          <w:p w14:paraId="6CE5D1CC" w14:textId="77777777" w:rsidR="003E7B3B" w:rsidRDefault="003E7B3B">
            <w:pPr>
              <w:spacing w:line="276" w:lineRule="auto"/>
              <w:jc w:val="both"/>
              <w:rPr>
                <w:rFonts w:ascii="Trebuchet MS" w:hAnsi="Trebuchet MS" w:cs="Calibri,Bold"/>
                <w:bCs/>
              </w:rPr>
            </w:pPr>
            <w:r>
              <w:rPr>
                <w:rFonts w:ascii="Trebuchet MS" w:hAnsi="Trebuchet MS" w:cs="Calibri,Bold"/>
                <w:bCs/>
                <w:sz w:val="22"/>
              </w:rPr>
              <w:t>V-XIII</w:t>
            </w:r>
          </w:p>
        </w:tc>
        <w:tc>
          <w:tcPr>
            <w:tcW w:w="1409" w:type="dxa"/>
            <w:hideMark/>
          </w:tcPr>
          <w:p w14:paraId="47AE5F8B" w14:textId="77777777" w:rsidR="003E7B3B" w:rsidRDefault="003E7B3B">
            <w:pPr>
              <w:spacing w:line="276" w:lineRule="auto"/>
              <w:jc w:val="both"/>
              <w:rPr>
                <w:rFonts w:ascii="Trebuchet MS" w:hAnsi="Trebuchet MS" w:cs="Calibri,Bold"/>
                <w:bCs/>
              </w:rPr>
            </w:pPr>
            <w:r>
              <w:rPr>
                <w:rFonts w:ascii="Trebuchet MS" w:hAnsi="Trebuchet MS" w:cs="Calibri,Bold"/>
                <w:bCs/>
                <w:sz w:val="22"/>
              </w:rPr>
              <w:t>V-XV</w:t>
            </w:r>
          </w:p>
        </w:tc>
      </w:tr>
      <w:tr w:rsidR="003E7B3B" w14:paraId="107DD246" w14:textId="77777777" w:rsidTr="003E7B3B">
        <w:tc>
          <w:tcPr>
            <w:tcW w:w="1783" w:type="dxa"/>
            <w:hideMark/>
          </w:tcPr>
          <w:p w14:paraId="59E810EA" w14:textId="77777777" w:rsidR="003E7B3B" w:rsidRDefault="003E7B3B">
            <w:pPr>
              <w:spacing w:line="276" w:lineRule="auto"/>
              <w:jc w:val="both"/>
              <w:rPr>
                <w:rFonts w:ascii="Trebuchet MS" w:hAnsi="Trebuchet MS" w:cs="Calibri,Bold"/>
                <w:bCs/>
              </w:rPr>
            </w:pPr>
            <w:r>
              <w:rPr>
                <w:rFonts w:ascii="Trebuchet MS" w:hAnsi="Trebuchet MS" w:cs="Calibri,Bold"/>
                <w:bCs/>
                <w:sz w:val="22"/>
              </w:rPr>
              <w:t>M2, M3, M5,M9</w:t>
            </w:r>
          </w:p>
        </w:tc>
        <w:tc>
          <w:tcPr>
            <w:tcW w:w="1433" w:type="dxa"/>
            <w:hideMark/>
          </w:tcPr>
          <w:p w14:paraId="36DDCC15"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w:t>
            </w:r>
          </w:p>
        </w:tc>
        <w:tc>
          <w:tcPr>
            <w:tcW w:w="1352" w:type="dxa"/>
            <w:hideMark/>
          </w:tcPr>
          <w:p w14:paraId="75EB0AC2"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II-VII</w:t>
            </w:r>
          </w:p>
        </w:tc>
        <w:tc>
          <w:tcPr>
            <w:tcW w:w="1381" w:type="dxa"/>
            <w:hideMark/>
          </w:tcPr>
          <w:p w14:paraId="5508991B" w14:textId="77777777" w:rsidR="003E7B3B" w:rsidRDefault="003E7B3B">
            <w:pPr>
              <w:spacing w:line="276" w:lineRule="auto"/>
              <w:jc w:val="both"/>
              <w:rPr>
                <w:rFonts w:ascii="Trebuchet MS" w:hAnsi="Trebuchet MS" w:cs="Calibri,Bold"/>
                <w:bCs/>
              </w:rPr>
            </w:pPr>
            <w:r>
              <w:rPr>
                <w:rFonts w:ascii="Trebuchet MS" w:hAnsi="Trebuchet MS" w:cs="Calibri,Bold"/>
                <w:bCs/>
                <w:sz w:val="22"/>
              </w:rPr>
              <w:t>III-VIII</w:t>
            </w:r>
          </w:p>
        </w:tc>
        <w:tc>
          <w:tcPr>
            <w:tcW w:w="1743" w:type="dxa"/>
            <w:hideMark/>
          </w:tcPr>
          <w:p w14:paraId="45E6788D" w14:textId="77777777" w:rsidR="003E7B3B" w:rsidRDefault="003E7B3B">
            <w:pPr>
              <w:spacing w:line="276" w:lineRule="auto"/>
              <w:jc w:val="both"/>
              <w:rPr>
                <w:rFonts w:ascii="Trebuchet MS" w:hAnsi="Trebuchet MS" w:cs="Calibri,Bold"/>
                <w:bCs/>
              </w:rPr>
            </w:pPr>
            <w:r>
              <w:rPr>
                <w:rFonts w:ascii="Trebuchet MS" w:hAnsi="Trebuchet MS" w:cs="Calibri,Bold"/>
                <w:bCs/>
                <w:sz w:val="22"/>
              </w:rPr>
              <w:t>V-XIII</w:t>
            </w:r>
          </w:p>
        </w:tc>
        <w:tc>
          <w:tcPr>
            <w:tcW w:w="1409" w:type="dxa"/>
            <w:hideMark/>
          </w:tcPr>
          <w:p w14:paraId="35AB8799" w14:textId="77777777" w:rsidR="003E7B3B" w:rsidRDefault="003E7B3B">
            <w:pPr>
              <w:spacing w:line="276" w:lineRule="auto"/>
              <w:jc w:val="both"/>
              <w:rPr>
                <w:rFonts w:ascii="Trebuchet MS" w:hAnsi="Trebuchet MS" w:cs="Calibri,Bold"/>
                <w:bCs/>
              </w:rPr>
            </w:pPr>
            <w:r>
              <w:rPr>
                <w:rFonts w:ascii="Trebuchet MS" w:hAnsi="Trebuchet MS" w:cs="Calibri,Bold"/>
                <w:bCs/>
                <w:sz w:val="22"/>
              </w:rPr>
              <w:t>V-XV</w:t>
            </w:r>
          </w:p>
        </w:tc>
      </w:tr>
    </w:tbl>
    <w:p w14:paraId="45F88B2A" w14:textId="77777777" w:rsidR="003E7B3B" w:rsidRDefault="003E7B3B" w:rsidP="003E7B3B">
      <w:pPr>
        <w:spacing w:line="276" w:lineRule="auto"/>
        <w:jc w:val="both"/>
        <w:rPr>
          <w:rFonts w:ascii="Trebuchet MS" w:hAnsi="Trebuchet MS"/>
          <w:i/>
          <w:sz w:val="22"/>
        </w:rPr>
      </w:pPr>
      <w:r>
        <w:rPr>
          <w:rFonts w:ascii="Trebuchet MS" w:hAnsi="Trebuchet MS" w:cs="Calibri,Bold"/>
          <w:bCs/>
          <w:i/>
          <w:sz w:val="22"/>
        </w:rPr>
        <w:t>*</w:t>
      </w:r>
      <w:r>
        <w:rPr>
          <w:rFonts w:ascii="Trebuchet MS" w:hAnsi="Trebuchet MS"/>
          <w:i/>
          <w:sz w:val="22"/>
        </w:rPr>
        <w:t xml:space="preserve"> Semestrul I – de la data contractării până la sfîrsitul anului 2016</w:t>
      </w:r>
    </w:p>
    <w:p w14:paraId="6AFFABE3" w14:textId="77777777" w:rsidR="003E7B3B" w:rsidRDefault="003E7B3B" w:rsidP="003E7B3B">
      <w:pPr>
        <w:spacing w:line="276" w:lineRule="auto"/>
        <w:jc w:val="both"/>
        <w:rPr>
          <w:rFonts w:ascii="Trebuchet MS" w:hAnsi="Trebuchet MS"/>
          <w:i/>
          <w:sz w:val="22"/>
        </w:rPr>
      </w:pPr>
      <w:r>
        <w:rPr>
          <w:rFonts w:ascii="Trebuchet MS" w:hAnsi="Trebuchet MS"/>
          <w:i/>
          <w:sz w:val="22"/>
        </w:rPr>
        <w:t>Semestrul II-III – anul 2017</w:t>
      </w:r>
    </w:p>
    <w:p w14:paraId="6D72174D" w14:textId="77777777" w:rsidR="003E7B3B" w:rsidRDefault="003E7B3B" w:rsidP="003E7B3B">
      <w:pPr>
        <w:spacing w:line="276" w:lineRule="auto"/>
        <w:jc w:val="both"/>
        <w:rPr>
          <w:rFonts w:ascii="Trebuchet MS" w:hAnsi="Trebuchet MS"/>
          <w:i/>
          <w:sz w:val="22"/>
        </w:rPr>
      </w:pPr>
      <w:r>
        <w:rPr>
          <w:rFonts w:ascii="Trebuchet MS" w:hAnsi="Trebuchet MS"/>
          <w:i/>
          <w:sz w:val="22"/>
        </w:rPr>
        <w:t>Semestrul IV-V – anul 2018</w:t>
      </w:r>
    </w:p>
    <w:p w14:paraId="4CF4DE48" w14:textId="77777777" w:rsidR="003E7B3B" w:rsidRDefault="003E7B3B" w:rsidP="003E7B3B">
      <w:pPr>
        <w:spacing w:line="276" w:lineRule="auto"/>
        <w:jc w:val="both"/>
        <w:rPr>
          <w:rFonts w:ascii="Trebuchet MS" w:hAnsi="Trebuchet MS"/>
          <w:i/>
          <w:sz w:val="22"/>
        </w:rPr>
      </w:pPr>
      <w:r>
        <w:rPr>
          <w:rFonts w:ascii="Trebuchet MS" w:hAnsi="Trebuchet MS"/>
          <w:i/>
          <w:sz w:val="22"/>
        </w:rPr>
        <w:t>Semestrul VI-VII – anul 2019</w:t>
      </w:r>
    </w:p>
    <w:p w14:paraId="69004CFD" w14:textId="77777777" w:rsidR="003E7B3B" w:rsidRDefault="003E7B3B" w:rsidP="003E7B3B">
      <w:pPr>
        <w:spacing w:line="276" w:lineRule="auto"/>
        <w:jc w:val="both"/>
        <w:rPr>
          <w:rFonts w:ascii="Trebuchet MS" w:hAnsi="Trebuchet MS"/>
          <w:i/>
          <w:sz w:val="22"/>
        </w:rPr>
      </w:pPr>
      <w:r>
        <w:rPr>
          <w:rFonts w:ascii="Trebuchet MS" w:hAnsi="Trebuchet MS"/>
          <w:i/>
          <w:sz w:val="22"/>
        </w:rPr>
        <w:t>Semestrul VIII–IX -  anul 2020</w:t>
      </w:r>
    </w:p>
    <w:p w14:paraId="4B968823" w14:textId="77777777" w:rsidR="003E7B3B" w:rsidRDefault="003E7B3B" w:rsidP="003E7B3B">
      <w:pPr>
        <w:spacing w:line="276" w:lineRule="auto"/>
        <w:jc w:val="both"/>
        <w:rPr>
          <w:rFonts w:ascii="Trebuchet MS" w:hAnsi="Trebuchet MS"/>
          <w:i/>
          <w:sz w:val="22"/>
        </w:rPr>
      </w:pPr>
      <w:r>
        <w:rPr>
          <w:rFonts w:ascii="Trebuchet MS" w:hAnsi="Trebuchet MS"/>
          <w:i/>
          <w:sz w:val="22"/>
        </w:rPr>
        <w:t>Semestrul X– XI – anul 2021</w:t>
      </w:r>
    </w:p>
    <w:p w14:paraId="68F174B7" w14:textId="77777777" w:rsidR="003E7B3B" w:rsidRDefault="003E7B3B" w:rsidP="003E7B3B">
      <w:pPr>
        <w:spacing w:line="276" w:lineRule="auto"/>
        <w:jc w:val="both"/>
        <w:rPr>
          <w:rFonts w:ascii="Trebuchet MS" w:hAnsi="Trebuchet MS"/>
          <w:i/>
          <w:sz w:val="22"/>
        </w:rPr>
      </w:pPr>
      <w:r>
        <w:rPr>
          <w:rFonts w:ascii="Trebuchet MS" w:hAnsi="Trebuchet MS"/>
          <w:i/>
          <w:sz w:val="22"/>
        </w:rPr>
        <w:t>Semestrul XII – XIII – anul 2022</w:t>
      </w:r>
    </w:p>
    <w:p w14:paraId="12176DB2" w14:textId="77777777" w:rsidR="003E7B3B" w:rsidRDefault="003E7B3B" w:rsidP="003E7B3B">
      <w:pPr>
        <w:spacing w:line="276" w:lineRule="auto"/>
        <w:jc w:val="both"/>
        <w:rPr>
          <w:rFonts w:ascii="Trebuchet MS" w:hAnsi="Trebuchet MS" w:cs="Calibri,Bold"/>
          <w:bCs/>
          <w:sz w:val="22"/>
        </w:rPr>
      </w:pPr>
      <w:r>
        <w:rPr>
          <w:rFonts w:ascii="Trebuchet MS" w:hAnsi="Trebuchet MS"/>
          <w:i/>
          <w:sz w:val="22"/>
        </w:rPr>
        <w:t>Semestrul XIV – XV – anul 2023</w:t>
      </w:r>
    </w:p>
    <w:p w14:paraId="27D7F7A5" w14:textId="77777777" w:rsidR="003E7B3B" w:rsidRDefault="003E7B3B" w:rsidP="003E7B3B">
      <w:pPr>
        <w:pStyle w:val="ListParagraph"/>
        <w:numPr>
          <w:ilvl w:val="0"/>
          <w:numId w:val="2"/>
        </w:numPr>
        <w:shd w:val="clear" w:color="auto" w:fill="FBE4D5"/>
        <w:spacing w:line="276" w:lineRule="auto"/>
        <w:jc w:val="both"/>
        <w:rPr>
          <w:rFonts w:ascii="Trebuchet MS" w:hAnsi="Trebuchet MS"/>
          <w:sz w:val="22"/>
        </w:rPr>
      </w:pPr>
      <w:r>
        <w:rPr>
          <w:rFonts w:ascii="Trebuchet MS" w:hAnsi="Trebuchet MS" w:cs="Calibri,Bold"/>
          <w:b/>
          <w:bCs/>
          <w:sz w:val="22"/>
        </w:rPr>
        <w:t>Responsabilii pentru implementarea acțiunilor</w:t>
      </w:r>
    </w:p>
    <w:p w14:paraId="23442E57" w14:textId="77777777" w:rsidR="003E7B3B" w:rsidRDefault="003E7B3B" w:rsidP="003E7B3B">
      <w:pPr>
        <w:spacing w:line="276" w:lineRule="auto"/>
        <w:jc w:val="both"/>
        <w:rPr>
          <w:rFonts w:ascii="Trebuchet MS" w:hAnsi="Trebuchet MS"/>
          <w:sz w:val="22"/>
        </w:rPr>
      </w:pPr>
      <w:r>
        <w:rPr>
          <w:rFonts w:ascii="Trebuchet MS" w:hAnsi="Trebuchet MS"/>
          <w:sz w:val="22"/>
        </w:rPr>
        <w:t xml:space="preserve">Pentru implementarea acțiunilor care intră în responsabilitatea viitorului GAL  ”DRUMUL VOIEVOZILOR” se vor angaja minimum 4 persoane, pentru funcția de management, pentru monitorizare, pentru evaluare și responsabil financiar, cu contract individual de muncă pentru minimum 4 ore/zi. </w:t>
      </w:r>
    </w:p>
    <w:p w14:paraId="09B27854" w14:textId="77777777" w:rsidR="003E7B3B" w:rsidRDefault="003E7B3B" w:rsidP="003E7B3B">
      <w:pPr>
        <w:spacing w:line="276" w:lineRule="auto"/>
        <w:jc w:val="both"/>
        <w:rPr>
          <w:rFonts w:ascii="Trebuchet MS" w:hAnsi="Trebuchet MS"/>
          <w:sz w:val="22"/>
        </w:rPr>
      </w:pPr>
      <w:r>
        <w:rPr>
          <w:rFonts w:ascii="Trebuchet MS" w:hAnsi="Trebuchet MS"/>
          <w:sz w:val="22"/>
        </w:rPr>
        <w:t xml:space="preserve">In funcție de volumul de lucrări, de numărul de proiecte depuse, de complexitatea activității, organigrama GAL se va suplimenta și se vor mai face angajări pentru activitatea de evaluare și alte activități. </w:t>
      </w:r>
    </w:p>
    <w:p w14:paraId="1EBEF540" w14:textId="77777777" w:rsidR="003E7B3B" w:rsidRDefault="003E7B3B" w:rsidP="003E7B3B">
      <w:pPr>
        <w:spacing w:line="276" w:lineRule="auto"/>
        <w:jc w:val="both"/>
        <w:rPr>
          <w:rFonts w:ascii="Trebuchet MS" w:hAnsi="Trebuchet MS"/>
          <w:sz w:val="22"/>
        </w:rPr>
      </w:pPr>
      <w:r>
        <w:rPr>
          <w:rFonts w:ascii="Trebuchet MS" w:hAnsi="Trebuchet MS"/>
          <w:sz w:val="22"/>
        </w:rPr>
        <w:t>În situația în care va fi necesar, activitățile de întocmire a Ghidului solicitantului, procedurilor de evaluare/selecție, dar și pentru evaluarea proiectelor și alte activități, vor fi externalizate.</w:t>
      </w:r>
    </w:p>
    <w:p w14:paraId="1ED35DB6" w14:textId="77777777" w:rsidR="003E7B3B" w:rsidRDefault="003E7B3B" w:rsidP="003E7B3B">
      <w:pPr>
        <w:spacing w:line="276" w:lineRule="auto"/>
        <w:jc w:val="both"/>
        <w:rPr>
          <w:rFonts w:ascii="Trebuchet MS" w:hAnsi="Trebuchet MS"/>
          <w:sz w:val="22"/>
        </w:rPr>
      </w:pPr>
      <w:r>
        <w:rPr>
          <w:rFonts w:ascii="Trebuchet MS" w:hAnsi="Trebuchet MS"/>
          <w:sz w:val="22"/>
        </w:rPr>
        <w:t xml:space="preserve">Structura și atribuțiile personalului care va asigura funcționarea GAL ”DRUMUL VOIEVOZILOR” sunt detaliate în cap. IX - Descierea mecanismelor de gestionare, monitorizare, evaluare și control a strategiei și în fișele de post din Anexa 8 la SDL. </w:t>
      </w:r>
    </w:p>
    <w:p w14:paraId="2DBED135" w14:textId="77777777" w:rsidR="003E7B3B" w:rsidRDefault="003E7B3B" w:rsidP="003E7B3B">
      <w:pPr>
        <w:pStyle w:val="ListParagraph"/>
        <w:numPr>
          <w:ilvl w:val="0"/>
          <w:numId w:val="2"/>
        </w:numPr>
        <w:shd w:val="clear" w:color="auto" w:fill="FBE4D5"/>
        <w:spacing w:line="276" w:lineRule="auto"/>
        <w:jc w:val="both"/>
        <w:rPr>
          <w:rFonts w:ascii="Trebuchet MS" w:hAnsi="Trebuchet MS"/>
          <w:sz w:val="22"/>
        </w:rPr>
      </w:pPr>
      <w:r>
        <w:rPr>
          <w:rFonts w:ascii="Trebuchet MS" w:hAnsi="Trebuchet MS"/>
          <w:b/>
          <w:sz w:val="22"/>
        </w:rPr>
        <w:t>Resursele financiare și materiale necesare pentru desfășurarea acțiunilor propuse</w:t>
      </w:r>
    </w:p>
    <w:p w14:paraId="0C6C99AD" w14:textId="77777777" w:rsidR="003E7B3B" w:rsidRDefault="003E7B3B" w:rsidP="003E7B3B">
      <w:pPr>
        <w:spacing w:line="276" w:lineRule="auto"/>
        <w:jc w:val="both"/>
        <w:rPr>
          <w:rFonts w:ascii="Trebuchet MS" w:hAnsi="Trebuchet MS"/>
          <w:sz w:val="22"/>
        </w:rPr>
      </w:pPr>
      <w:r>
        <w:rPr>
          <w:rFonts w:ascii="Trebuchet MS" w:hAnsi="Trebuchet MS"/>
          <w:sz w:val="22"/>
        </w:rPr>
        <w:t>Din totalul valorii de implementare a SDL, costurile de funcționare a GAL nu vor depăși 20%. Din aceste sume se vor acoperi costurile legate de managementul implementării strategiei, respectiv costurile de funcționare, costurile de personal, costurile de instruire, costurile legate de comunicare, costurile financiare, precum și costurile legate de monitorizarea și evaluarea strategiei, conform articolului 34 (3) (g) Regulamentul 1303/2013. Dintre acestea, se enumeră:</w:t>
      </w:r>
    </w:p>
    <w:p w14:paraId="3D5036E6" w14:textId="77777777" w:rsidR="003E7B3B" w:rsidRDefault="003E7B3B" w:rsidP="003E7B3B">
      <w:pPr>
        <w:spacing w:line="276" w:lineRule="auto"/>
        <w:rPr>
          <w:rFonts w:ascii="Trebuchet MS" w:hAnsi="Trebuchet MS"/>
          <w:sz w:val="22"/>
          <w:szCs w:val="22"/>
        </w:rPr>
      </w:pPr>
      <w:r>
        <w:rPr>
          <w:rFonts w:ascii="Trebuchet MS" w:hAnsi="Trebuchet MS"/>
          <w:sz w:val="22"/>
          <w:szCs w:val="22"/>
        </w:rPr>
        <w:t xml:space="preserve"> -cheltuieli de personal;</w:t>
      </w:r>
    </w:p>
    <w:p w14:paraId="4956E01C" w14:textId="77777777" w:rsidR="003E7B3B" w:rsidRDefault="003E7B3B" w:rsidP="003E7B3B">
      <w:pPr>
        <w:spacing w:line="276" w:lineRule="auto"/>
        <w:rPr>
          <w:rFonts w:ascii="Trebuchet MS" w:hAnsi="Trebuchet MS"/>
          <w:sz w:val="22"/>
          <w:szCs w:val="22"/>
        </w:rPr>
      </w:pPr>
      <w:r>
        <w:rPr>
          <w:rFonts w:ascii="Trebuchet MS" w:hAnsi="Trebuchet MS"/>
          <w:sz w:val="22"/>
          <w:szCs w:val="22"/>
        </w:rPr>
        <w:t>-cheltuieli pentru servicii de expertiză legate de implementarea strategiei GAL;</w:t>
      </w:r>
    </w:p>
    <w:p w14:paraId="24E061BF" w14:textId="77777777" w:rsidR="003E7B3B" w:rsidRDefault="003E7B3B" w:rsidP="003E7B3B">
      <w:pPr>
        <w:spacing w:line="276" w:lineRule="auto"/>
        <w:rPr>
          <w:rFonts w:ascii="Trebuchet MS" w:hAnsi="Trebuchet MS"/>
          <w:sz w:val="22"/>
          <w:szCs w:val="22"/>
        </w:rPr>
      </w:pPr>
      <w:r>
        <w:rPr>
          <w:rFonts w:ascii="Trebuchet MS" w:hAnsi="Trebuchet MS"/>
          <w:sz w:val="22"/>
          <w:szCs w:val="22"/>
        </w:rPr>
        <w:t>-cheltuieli aferente sediului administrativ al GAL (închiriere și dotarea) din teritoriul GAL;</w:t>
      </w:r>
    </w:p>
    <w:p w14:paraId="4F12B27B" w14:textId="77777777" w:rsidR="003E7B3B" w:rsidRDefault="003E7B3B" w:rsidP="003E7B3B">
      <w:pPr>
        <w:spacing w:line="276" w:lineRule="auto"/>
        <w:rPr>
          <w:rFonts w:ascii="Trebuchet MS" w:hAnsi="Trebuchet MS"/>
          <w:sz w:val="22"/>
          <w:szCs w:val="22"/>
        </w:rPr>
      </w:pPr>
      <w:r>
        <w:rPr>
          <w:rFonts w:ascii="Trebuchet MS" w:hAnsi="Trebuchet MS"/>
          <w:sz w:val="22"/>
          <w:szCs w:val="22"/>
        </w:rPr>
        <w:t>-cheltuieli pentru echipamente si consumabile necesare funcționării GAL;</w:t>
      </w:r>
    </w:p>
    <w:p w14:paraId="1B55E736" w14:textId="77777777" w:rsidR="003E7B3B" w:rsidRDefault="003E7B3B" w:rsidP="003E7B3B">
      <w:pPr>
        <w:spacing w:line="276" w:lineRule="auto"/>
        <w:rPr>
          <w:rFonts w:ascii="Trebuchet MS" w:hAnsi="Trebuchet MS"/>
          <w:sz w:val="22"/>
          <w:szCs w:val="22"/>
        </w:rPr>
      </w:pPr>
      <w:r>
        <w:rPr>
          <w:rFonts w:ascii="Trebuchet MS" w:hAnsi="Trebuchet MS"/>
          <w:sz w:val="22"/>
          <w:szCs w:val="22"/>
        </w:rPr>
        <w:t>-cheltuieli pentru organizarea întâlnirilor GAL și ale comitetului de selecție,</w:t>
      </w:r>
    </w:p>
    <w:p w14:paraId="4993C3E1" w14:textId="77777777" w:rsidR="003E7B3B" w:rsidRDefault="003E7B3B" w:rsidP="003E7B3B">
      <w:pPr>
        <w:spacing w:line="276" w:lineRule="auto"/>
        <w:rPr>
          <w:rFonts w:ascii="Trebuchet MS" w:hAnsi="Trebuchet MS"/>
          <w:sz w:val="22"/>
          <w:szCs w:val="22"/>
        </w:rPr>
      </w:pPr>
      <w:r>
        <w:rPr>
          <w:rFonts w:ascii="Trebuchet MS" w:hAnsi="Trebuchet MS"/>
          <w:sz w:val="22"/>
          <w:szCs w:val="22"/>
        </w:rPr>
        <w:t>-cheltuieli pentru comunicare, transport și utilități;</w:t>
      </w:r>
    </w:p>
    <w:p w14:paraId="44CE7098" w14:textId="77777777" w:rsidR="003E7B3B" w:rsidRDefault="003E7B3B" w:rsidP="003E7B3B">
      <w:pPr>
        <w:spacing w:line="276" w:lineRule="auto"/>
        <w:rPr>
          <w:rFonts w:ascii="Trebuchet MS" w:hAnsi="Trebuchet MS"/>
          <w:sz w:val="22"/>
          <w:szCs w:val="22"/>
        </w:rPr>
      </w:pPr>
      <w:r>
        <w:rPr>
          <w:rFonts w:ascii="Trebuchet MS" w:hAnsi="Trebuchet MS"/>
          <w:sz w:val="22"/>
          <w:szCs w:val="22"/>
        </w:rPr>
        <w:t xml:space="preserve"> -costuri de audit;</w:t>
      </w:r>
    </w:p>
    <w:p w14:paraId="3EC2599A" w14:textId="77777777" w:rsidR="003E7B3B" w:rsidRDefault="003E7B3B" w:rsidP="003E7B3B">
      <w:pPr>
        <w:spacing w:line="276" w:lineRule="auto"/>
        <w:rPr>
          <w:rFonts w:ascii="Trebuchet MS" w:hAnsi="Trebuchet MS"/>
          <w:sz w:val="22"/>
          <w:szCs w:val="22"/>
        </w:rPr>
      </w:pPr>
      <w:r>
        <w:rPr>
          <w:rFonts w:ascii="Trebuchet MS" w:hAnsi="Trebuchet MS"/>
          <w:sz w:val="22"/>
          <w:szCs w:val="22"/>
        </w:rPr>
        <w:t>-costuri legate de monitorizarea și evaluarea strategiei;</w:t>
      </w:r>
    </w:p>
    <w:p w14:paraId="40F42F61" w14:textId="77777777" w:rsidR="003E7B3B" w:rsidRDefault="003E7B3B" w:rsidP="003E7B3B">
      <w:pPr>
        <w:spacing w:line="276" w:lineRule="auto"/>
        <w:rPr>
          <w:rFonts w:ascii="Trebuchet MS" w:hAnsi="Trebuchet MS"/>
          <w:sz w:val="22"/>
          <w:szCs w:val="22"/>
        </w:rPr>
      </w:pPr>
      <w:r>
        <w:rPr>
          <w:rFonts w:ascii="Trebuchet MS" w:hAnsi="Trebuchet MS"/>
          <w:sz w:val="22"/>
          <w:szCs w:val="22"/>
        </w:rPr>
        <w:t>-cheltuieli de participare la activitățile rețelei naționale și rețelei europene de dezvoltare rurală și la alte activități de instruire, informare și promovare care vizează implementarea strategiei;</w:t>
      </w:r>
    </w:p>
    <w:p w14:paraId="72CA6C2F" w14:textId="77777777" w:rsidR="003E7B3B" w:rsidRDefault="003E7B3B" w:rsidP="003E7B3B">
      <w:pPr>
        <w:spacing w:line="276" w:lineRule="auto"/>
        <w:rPr>
          <w:rFonts w:ascii="Trebuchet MS" w:hAnsi="Trebuchet MS"/>
          <w:sz w:val="22"/>
          <w:szCs w:val="22"/>
        </w:rPr>
      </w:pPr>
      <w:r>
        <w:rPr>
          <w:rFonts w:ascii="Trebuchet MS" w:hAnsi="Trebuchet MS"/>
          <w:sz w:val="22"/>
          <w:szCs w:val="22"/>
        </w:rPr>
        <w:t>-cheltuieli cu servicii de consultanță tehnică și financiară;</w:t>
      </w:r>
    </w:p>
    <w:p w14:paraId="5AA54002" w14:textId="77777777" w:rsidR="003E7B3B" w:rsidRDefault="003E7B3B" w:rsidP="003E7B3B">
      <w:pPr>
        <w:spacing w:line="276" w:lineRule="auto"/>
        <w:rPr>
          <w:rFonts w:ascii="Trebuchet MS" w:hAnsi="Trebuchet MS"/>
          <w:sz w:val="22"/>
          <w:szCs w:val="22"/>
        </w:rPr>
      </w:pPr>
      <w:r>
        <w:rPr>
          <w:rFonts w:ascii="Trebuchet MS" w:hAnsi="Trebuchet MS"/>
          <w:sz w:val="22"/>
          <w:szCs w:val="22"/>
        </w:rPr>
        <w:t>-cheltuieli pentru achiziția unui autoturism și întreținerea acestuia, în conformitate cu restricțiile prevăzute de legislația națională aplicabilă entităților publice;</w:t>
      </w:r>
    </w:p>
    <w:p w14:paraId="10956D2A" w14:textId="77777777" w:rsidR="003E7B3B" w:rsidRDefault="003E7B3B" w:rsidP="003E7B3B">
      <w:pPr>
        <w:spacing w:line="276" w:lineRule="auto"/>
        <w:rPr>
          <w:rFonts w:ascii="Trebuchet MS" w:hAnsi="Trebuchet MS"/>
          <w:sz w:val="22"/>
          <w:szCs w:val="22"/>
        </w:rPr>
      </w:pPr>
      <w:r>
        <w:rPr>
          <w:rFonts w:ascii="Trebuchet MS" w:hAnsi="Trebuchet MS"/>
          <w:sz w:val="22"/>
          <w:szCs w:val="22"/>
        </w:rPr>
        <w:lastRenderedPageBreak/>
        <w:t>-instruirea și/sau dezvoltarea competențelor angajaților GAL și a liderilor locali din teritoriul GAL privind implementarea SDL;</w:t>
      </w:r>
    </w:p>
    <w:p w14:paraId="4F898EF7" w14:textId="77777777" w:rsidR="003E7B3B" w:rsidRDefault="003E7B3B" w:rsidP="003E7B3B">
      <w:pPr>
        <w:spacing w:line="276" w:lineRule="auto"/>
        <w:rPr>
          <w:rFonts w:ascii="Trebuchet MS" w:hAnsi="Trebuchet MS"/>
          <w:sz w:val="22"/>
          <w:szCs w:val="22"/>
        </w:rPr>
      </w:pPr>
    </w:p>
    <w:p w14:paraId="6B3E8819" w14:textId="77777777" w:rsidR="003E7B3B" w:rsidRDefault="003E7B3B" w:rsidP="003E7B3B">
      <w:pPr>
        <w:spacing w:line="276" w:lineRule="auto"/>
        <w:rPr>
          <w:rFonts w:ascii="Trebuchet MS" w:hAnsi="Trebuchet MS"/>
          <w:sz w:val="22"/>
          <w:szCs w:val="22"/>
        </w:rPr>
      </w:pPr>
    </w:p>
    <w:p w14:paraId="58F81646" w14:textId="77777777" w:rsidR="003E7B3B" w:rsidRDefault="003E7B3B" w:rsidP="003E7B3B">
      <w:pPr>
        <w:spacing w:line="276" w:lineRule="auto"/>
        <w:rPr>
          <w:rFonts w:ascii="Trebuchet MS" w:hAnsi="Trebuchet MS"/>
          <w:sz w:val="22"/>
          <w:szCs w:val="22"/>
        </w:rPr>
      </w:pPr>
      <w:r>
        <w:rPr>
          <w:rFonts w:ascii="Trebuchet MS" w:hAnsi="Trebuchet MS"/>
          <w:b/>
          <w:sz w:val="22"/>
          <w:szCs w:val="22"/>
        </w:rPr>
        <w:t>Categoriile de resurse</w:t>
      </w:r>
      <w:r>
        <w:rPr>
          <w:rFonts w:ascii="Trebuchet MS" w:hAnsi="Trebuchet MS"/>
          <w:sz w:val="22"/>
          <w:szCs w:val="22"/>
        </w:rPr>
        <w:t xml:space="preserve"> din care vor fi acoperite cheltuielile de functionare vor fi</w:t>
      </w:r>
    </w:p>
    <w:p w14:paraId="407B6A8C" w14:textId="77777777" w:rsidR="003E7B3B" w:rsidRDefault="003E7B3B" w:rsidP="003E7B3B">
      <w:pPr>
        <w:spacing w:line="276" w:lineRule="auto"/>
        <w:jc w:val="both"/>
        <w:rPr>
          <w:rFonts w:ascii="Trebuchet MS" w:hAnsi="Trebuchet MS" w:cs="Calibri,Bold"/>
          <w:bCs/>
          <w:sz w:val="22"/>
        </w:rPr>
      </w:pPr>
      <w:r>
        <w:rPr>
          <w:rFonts w:ascii="Trebuchet MS" w:hAnsi="Trebuchet MS"/>
          <w:sz w:val="22"/>
          <w:szCs w:val="22"/>
        </w:rPr>
        <w:t xml:space="preserve"> sumele alocate din bugetul stategiei cat si surse externe – cotizatii ale membrilor ,credite ,imprumuturi,donatii ,sponsorizari.</w:t>
      </w:r>
      <w:r>
        <w:rPr>
          <w:rFonts w:ascii="Trebuchet MS" w:hAnsi="Trebuchet MS" w:cs="Calibri,Bold"/>
          <w:bCs/>
          <w:sz w:val="22"/>
        </w:rPr>
        <w:t xml:space="preserve">Până la selectarea GAL și încheierea contractului de finanțare, resursele materiale de funcționare sunt puse la dispoziție de autoritățile publice locale, majoritatea de către UAT care are calitatea de solicitant în cadrul submăsurii 19.1. </w:t>
      </w:r>
    </w:p>
    <w:p w14:paraId="59B36502" w14:textId="77777777" w:rsidR="003E7B3B" w:rsidRDefault="003E7B3B" w:rsidP="003E7B3B"/>
    <w:p w14:paraId="36C661C1" w14:textId="77777777" w:rsidR="00E03960" w:rsidRDefault="00000000"/>
    <w:sectPr w:rsidR="00E03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6D"/>
    <w:multiLevelType w:val="hybridMultilevel"/>
    <w:tmpl w:val="02A82C98"/>
    <w:lvl w:ilvl="0" w:tplc="178473C0">
      <w:start w:val="1"/>
      <w:numFmt w:val="lowerLetter"/>
      <w:lvlText w:val="%1."/>
      <w:lvlJc w:val="left"/>
      <w:pPr>
        <w:ind w:left="720" w:hanging="360"/>
      </w:pPr>
      <w:rPr>
        <w:rFonts w:cs="Calibri,Bold"/>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15:restartNumberingAfterBreak="0">
    <w:nsid w:val="435606BD"/>
    <w:multiLevelType w:val="hybridMultilevel"/>
    <w:tmpl w:val="6EA66788"/>
    <w:lvl w:ilvl="0" w:tplc="7F5C7D92">
      <w:numFmt w:val="decimal"/>
      <w:lvlText w:val=""/>
      <w:lvlJc w:val="left"/>
      <w:pPr>
        <w:tabs>
          <w:tab w:val="num" w:pos="567"/>
        </w:tabs>
        <w:ind w:left="0" w:firstLine="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16cid:durableId="1379278779">
    <w:abstractNumId w:val="1"/>
  </w:num>
  <w:num w:numId="2" w16cid:durableId="1734696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DE"/>
    <w:rsid w:val="00164130"/>
    <w:rsid w:val="003135D0"/>
    <w:rsid w:val="003E7B3B"/>
    <w:rsid w:val="00A001DE"/>
    <w:rsid w:val="00EC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415C8-244B-4388-B83A-B28128D3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3B"/>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B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2022-08-23T14:53:00Z</dcterms:created>
  <dcterms:modified xsi:type="dcterms:W3CDTF">2022-08-23T14:53:00Z</dcterms:modified>
</cp:coreProperties>
</file>