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FIȘA MĂSURII </w:t>
      </w:r>
    </w:p>
    <w:p w:rsidR="00225B22" w:rsidRPr="00AA167C" w:rsidRDefault="00225B22" w:rsidP="00AA167C">
      <w:pPr>
        <w:spacing w:after="0" w:line="276" w:lineRule="auto"/>
        <w:jc w:val="both"/>
        <w:rPr>
          <w:rFonts w:ascii="Trebuchet MS" w:hAnsi="Trebuchet MS"/>
        </w:rPr>
      </w:pPr>
      <w:r w:rsidRPr="00AA167C">
        <w:rPr>
          <w:rFonts w:ascii="Trebuchet MS" w:hAnsi="Trebuchet MS"/>
        </w:rPr>
        <w:t>Denumirea măsurii: Investiții în infrastructura socială și integrarea minoritatilor</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Codul măsurii: M8/6B </w:t>
      </w:r>
    </w:p>
    <w:p w:rsidR="00225B22" w:rsidRPr="00AA167C" w:rsidRDefault="00225B22" w:rsidP="00AA167C">
      <w:pPr>
        <w:spacing w:after="0" w:line="276" w:lineRule="auto"/>
        <w:jc w:val="both"/>
        <w:rPr>
          <w:rFonts w:ascii="Trebuchet MS" w:hAnsi="Trebuchet MS"/>
        </w:rPr>
      </w:pPr>
      <w:r w:rsidRPr="00AA167C">
        <w:rPr>
          <w:rFonts w:ascii="Trebuchet MS" w:hAnsi="Trebuchet MS"/>
        </w:rPr>
        <w:t>Tipul măsurii: Investiții</w:t>
      </w:r>
    </w:p>
    <w:p w:rsidR="00225B22" w:rsidRPr="00AA167C" w:rsidRDefault="00225B22" w:rsidP="00AA167C">
      <w:pPr>
        <w:pStyle w:val="ListParagraph"/>
        <w:numPr>
          <w:ilvl w:val="0"/>
          <w:numId w:val="10"/>
        </w:numPr>
        <w:spacing w:after="0" w:line="276" w:lineRule="auto"/>
        <w:ind w:left="0" w:firstLine="360"/>
        <w:jc w:val="both"/>
        <w:rPr>
          <w:rFonts w:ascii="Trebuchet MS" w:hAnsi="Trebuchet MS"/>
        </w:rPr>
      </w:pPr>
      <w:r w:rsidRPr="00AA167C">
        <w:rPr>
          <w:rFonts w:ascii="Trebuchet MS" w:hAnsi="Trebuchet MS"/>
          <w:b/>
        </w:rPr>
        <w:t>Descrierea generală a măsurii,</w:t>
      </w:r>
      <w:r w:rsidRPr="00AA167C">
        <w:rPr>
          <w:rFonts w:ascii="Trebuchet MS" w:hAnsi="Trebuchet MS"/>
        </w:rPr>
        <w:t xml:space="preserve"> inclusiv a logicii de intervenție a acesteia și a contribuției la prioritățile strategiei, la domeniile de intervenție, la Obiectivele transversale și a complementarității cu alte măsuri din SDL</w:t>
      </w:r>
    </w:p>
    <w:p w:rsidR="00225B22" w:rsidRPr="00AA167C" w:rsidRDefault="00225B22" w:rsidP="00AA167C">
      <w:pPr>
        <w:spacing w:after="0" w:line="276" w:lineRule="auto"/>
        <w:jc w:val="both"/>
        <w:rPr>
          <w:rFonts w:ascii="Trebuchet MS" w:hAnsi="Trebuchet MS"/>
        </w:rPr>
      </w:pPr>
      <w:r w:rsidRPr="00AA167C">
        <w:rPr>
          <w:rFonts w:ascii="Trebuchet MS" w:hAnsi="Trebuchet MS"/>
        </w:rPr>
        <w:t>Măsura include investiții care sprijină atât activitățile cu caracter social din teritoriul GAL, cât și cele care promovează integrarea minoritati rome din microregiune.</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Facilitățile legate de educația copiilor, dar și a adulților, se confruntă cu un deficit major în ceea ce privește infrastructura , UAT  componente GAL nu au  capacitatea de a susține un nivel decent de educaţie și îngrijire a copiilor și persoanleor defavorizate, in teritoriul  microregiunii  practic nu exista capacitati de infrastructura sociala sau pentru activitati de incluziune a minoritatilor de etnie roma . </w:t>
      </w:r>
    </w:p>
    <w:p w:rsidR="00225B22" w:rsidRPr="00AA167C" w:rsidRDefault="00225B22" w:rsidP="00AA167C">
      <w:pPr>
        <w:spacing w:after="0" w:line="276" w:lineRule="auto"/>
        <w:jc w:val="both"/>
        <w:rPr>
          <w:rFonts w:ascii="Trebuchet MS" w:hAnsi="Trebuchet MS"/>
        </w:rPr>
      </w:pPr>
      <w:r w:rsidRPr="00AA167C">
        <w:rPr>
          <w:rFonts w:ascii="Trebuchet MS" w:hAnsi="Trebuchet MS"/>
        </w:rPr>
        <w:t>Întâlnim un deficit major în ceea ce privește posibilitățile oferite persoanelor cu venituri foate mici, persoanelor cu ven</w:t>
      </w:r>
      <w:r>
        <w:rPr>
          <w:rFonts w:ascii="Trebuchet MS" w:hAnsi="Trebuchet MS"/>
        </w:rPr>
        <w:t>i</w:t>
      </w:r>
      <w:r w:rsidRPr="00AA167C">
        <w:rPr>
          <w:rFonts w:ascii="Trebuchet MS" w:hAnsi="Trebuchet MS"/>
        </w:rPr>
        <w:t>turi mici, sau cele aparținând grupurilor marginalizate (în special copiilor de etnie romă).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Astfel, pentru diminuarea discrepanțelor existente între mediul urban și rural care determină un impact deosebit de negativ și inechitate privind oportunitățile de dezvoltare se impune necesitatea continuării efortului de a sprijini dezvoltarea și modernizarea infrastructurii  sociale în spațiul GAL, în vederea facilitării accesului la infrastructura socială precum și a accesului la servicii sociale și de îngrijire a copiilor.</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Intervențiile care să sprijine aceste activități contribuie atât la diminuarea discriminării privind accesul pe piața muncii a persoanelor vulnerabile, cât și creșterea nivelului de educație a minorităților și a populației din zona GAL, conducând astfel la asigurarea egalității de șanse și evitarea excluziunii sociale. Investițiile vor fi realizate în conformitate cu strategia de dezvoltare națională/județeană/locală aprobată, corespunzătoare domeniului de investiții și în conformitate cu cerințele pieței forței de muncă locale, astfel contribuind la incluziunea pe piața muncii și totodată dezvoltare economică. În plus, determinarea identității socio-culturale necesită luarea în considerare a unor factori cum ar fi educația și accesul la cultură. Astfel, o componentă importantă a vieții sociale este și cea culturală, domeniu care poate contribui la creșterea gradului de atractivitate a satului pentru populația tânără. </w:t>
      </w:r>
    </w:p>
    <w:p w:rsidR="00225B22" w:rsidRPr="00666E95" w:rsidRDefault="00225B22" w:rsidP="00AA167C">
      <w:pPr>
        <w:spacing w:after="0" w:line="276" w:lineRule="auto"/>
        <w:jc w:val="both"/>
        <w:rPr>
          <w:rFonts w:ascii="Trebuchet MS" w:hAnsi="Trebuchet MS"/>
          <w:b/>
        </w:rPr>
      </w:pPr>
      <w:r w:rsidRPr="00666E95">
        <w:rPr>
          <w:rFonts w:ascii="Trebuchet MS" w:hAnsi="Trebuchet MS"/>
          <w:b/>
        </w:rPr>
        <w:t>Pentru funcționarea activităților cu caracter social vor fi solicitate fonduri prin Programul Operațional Capital Uman (POCU).</w:t>
      </w:r>
    </w:p>
    <w:p w:rsidR="00225B22" w:rsidRPr="00AA167C" w:rsidRDefault="00225B22" w:rsidP="00AA167C">
      <w:pPr>
        <w:spacing w:after="0" w:line="276" w:lineRule="auto"/>
        <w:jc w:val="both"/>
        <w:rPr>
          <w:rFonts w:ascii="Trebuchet MS" w:hAnsi="Trebuchet MS"/>
          <w:b/>
        </w:rPr>
      </w:pPr>
      <w:r w:rsidRPr="00AA167C">
        <w:rPr>
          <w:rFonts w:ascii="Trebuchet MS" w:hAnsi="Trebuchet MS"/>
          <w:b/>
        </w:rPr>
        <w:t>Justificare și corelare cu analiza SWOT a alegerii măsurii</w:t>
      </w:r>
    </w:p>
    <w:p w:rsidR="00225B22" w:rsidRPr="00AA167C" w:rsidRDefault="00225B22" w:rsidP="00AA167C">
      <w:pPr>
        <w:spacing w:after="0" w:line="276" w:lineRule="auto"/>
        <w:jc w:val="both"/>
        <w:rPr>
          <w:rFonts w:ascii="Trebuchet MS" w:hAnsi="Trebuchet MS"/>
        </w:rPr>
      </w:pPr>
      <w:r w:rsidRPr="00AA167C">
        <w:rPr>
          <w:rFonts w:ascii="Trebuchet MS" w:hAnsi="Trebuchet MS"/>
        </w:rPr>
        <w:t>Măsura este propusă pentru diminuarea fenomenului de migrare și a sporului natural negativ, identificate în analiza diagnostic și analiza SWOT, efectuate în scopul stabilirii obiectivelor strategice de dezvoltare locală. De asemenea, existența, în cadrul politicilor de dezvoltare locală, județeană și regională, a obiectivelor de dezvoltare a facilităților de  incluziune socială, justifică abordarea acestei măsuri în cadrul SDL.</w:t>
      </w:r>
    </w:p>
    <w:p w:rsidR="00225B22" w:rsidRPr="00AA167C" w:rsidRDefault="00225B22" w:rsidP="00AA167C">
      <w:pPr>
        <w:spacing w:after="0" w:line="276" w:lineRule="auto"/>
        <w:jc w:val="both"/>
        <w:rPr>
          <w:rFonts w:ascii="Trebuchet MS" w:hAnsi="Trebuchet MS"/>
        </w:rPr>
      </w:pPr>
      <w:r w:rsidRPr="00AA167C">
        <w:rPr>
          <w:rFonts w:ascii="Trebuchet MS" w:hAnsi="Trebuchet MS"/>
        </w:rPr>
        <w:t>Prin înființarea unor centre de zi pentru consiliere, de petrecere a timpului liber a copiilor, dar și de sprijin în ceea ce privește informarea în legătura cu posibilitățile de incluziune socială a locuitorilor din zona GAL, se crează premisa valorificării mai eficiente a potențialului uman existent în zonă.</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 xml:space="preserve"> Obiectiv de dezvoltare rurală</w:t>
      </w:r>
      <w:r w:rsidRPr="00AA167C">
        <w:rPr>
          <w:rFonts w:ascii="Trebuchet MS" w:hAnsi="Trebuchet MS"/>
        </w:rPr>
        <w:t xml:space="preserve"> conform art. 4 al Reg. (UE) nr.1305/2013: 3 - Diversificarea activităților economice, crearea de locuri de muncă, îmbunătățirea infrastructurii și serviciilor pentru îmbunătățirea calității vieții în zonele rurale.</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Obiectiv specific al măsurii</w:t>
      </w:r>
      <w:r w:rsidRPr="00AA167C">
        <w:rPr>
          <w:rFonts w:ascii="Trebuchet MS" w:hAnsi="Trebuchet MS"/>
        </w:rPr>
        <w:t xml:space="preserve">: îmbunătățirea condițiilor de viață pentru populație, asigurarea accesului la serviciile de bază și protejarea moștenirii culturale și naturale din spațiul rural în vederea realizării unei dezvoltări durabile. </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Măsura contribuie la prioritatea P6</w:t>
      </w:r>
      <w:r w:rsidRPr="00AA167C">
        <w:rPr>
          <w:rFonts w:ascii="Trebuchet MS" w:hAnsi="Trebuchet MS"/>
        </w:rPr>
        <w:t xml:space="preserve"> – Promovarea incluziunii sociale, a reducerii sărăciei și a dezvoltării economice în zonele rurale, așa cum este prevăzută la art. 5, Reg. (UE) nr. 1305/2013 </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Măsura contribuie obiectivelor art. 20</w:t>
      </w:r>
      <w:r w:rsidRPr="00AA167C">
        <w:rPr>
          <w:rFonts w:ascii="Trebuchet MS" w:hAnsi="Trebuchet MS"/>
        </w:rPr>
        <w:t xml:space="preserve"> - Servicii de bază și reînnoirea satelor în zonele rurale - din Reg. (UE) nr. 1305/2013. </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Măsura contribuie la domeniul de intervenție 6B</w:t>
      </w:r>
      <w:r w:rsidRPr="00AA167C">
        <w:rPr>
          <w:rFonts w:ascii="Trebuchet MS" w:hAnsi="Trebuchet MS"/>
        </w:rPr>
        <w:t xml:space="preserve"> – Încurajarea dezvoltării locale în zonele rurale prevăzut la art. 5 al Reg. (UE) nr. 1305/2013</w:t>
      </w:r>
    </w:p>
    <w:p w:rsidR="00225B22" w:rsidRPr="00AA167C" w:rsidRDefault="00225B22" w:rsidP="00AA167C">
      <w:pPr>
        <w:spacing w:after="0" w:line="276" w:lineRule="auto"/>
        <w:jc w:val="both"/>
        <w:rPr>
          <w:rFonts w:ascii="Trebuchet MS" w:hAnsi="Trebuchet MS"/>
          <w:b/>
        </w:rPr>
      </w:pPr>
      <w:r w:rsidRPr="00AA167C">
        <w:rPr>
          <w:rFonts w:ascii="Trebuchet MS" w:hAnsi="Trebuchet MS"/>
          <w:b/>
        </w:rPr>
        <w:t>Contribuția la temele orizontale</w:t>
      </w:r>
    </w:p>
    <w:p w:rsidR="00225B22" w:rsidRPr="00AA167C" w:rsidRDefault="00225B22" w:rsidP="00AA167C">
      <w:pPr>
        <w:spacing w:after="0" w:line="276" w:lineRule="auto"/>
        <w:jc w:val="both"/>
        <w:rPr>
          <w:rFonts w:ascii="Trebuchet MS" w:hAnsi="Trebuchet MS"/>
          <w:b/>
        </w:rPr>
      </w:pPr>
      <w:r w:rsidRPr="00AA167C">
        <w:rPr>
          <w:rFonts w:ascii="Trebuchet MS" w:hAnsi="Trebuchet MS"/>
          <w:b/>
        </w:rPr>
        <w:t>Inovare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O infrastructură socială/culturală  îmbunătățită permite afacerilor din mediul rural să se dezvolte şi încurajează spiritul antreprenorial şi inovator. De asemenea, permite formarea de generaţii tinere bine pregătite, deschise spre noi oportunităţi şi capabile să aducă inovaţii şi dezvoltare în zonele rurale. Valorificarea cunoștințelor populației în vârstă pentru menținerea identității culturale a zonei constituie o activitate inovatoare.</w:t>
      </w:r>
    </w:p>
    <w:p w:rsidR="00225B22" w:rsidRPr="00666E95" w:rsidRDefault="00225B22" w:rsidP="00AA167C">
      <w:pPr>
        <w:spacing w:after="0" w:line="276" w:lineRule="auto"/>
        <w:jc w:val="both"/>
        <w:rPr>
          <w:rFonts w:ascii="Trebuchet MS" w:hAnsi="Trebuchet MS"/>
          <w:b/>
        </w:rPr>
      </w:pPr>
      <w:r w:rsidRPr="00666E95">
        <w:rPr>
          <w:rFonts w:ascii="Trebuchet MS" w:hAnsi="Trebuchet MS"/>
          <w:b/>
        </w:rPr>
        <w:t>Complementaritatea cu alte măsuri din SDL: M6</w:t>
      </w:r>
    </w:p>
    <w:p w:rsidR="00225B22" w:rsidRPr="00AA167C" w:rsidRDefault="00225B22" w:rsidP="00AA167C">
      <w:pPr>
        <w:spacing w:after="0" w:line="276" w:lineRule="auto"/>
        <w:jc w:val="both"/>
        <w:rPr>
          <w:rFonts w:ascii="Trebuchet MS" w:hAnsi="Trebuchet MS"/>
          <w:b/>
        </w:rPr>
      </w:pPr>
      <w:r w:rsidRPr="00666E95">
        <w:rPr>
          <w:rFonts w:ascii="Trebuchet MS" w:hAnsi="Trebuchet MS"/>
          <w:b/>
        </w:rPr>
        <w:t>Sinergia cu alte măsuri din SDL:</w:t>
      </w:r>
      <w:r>
        <w:rPr>
          <w:rFonts w:ascii="Trebuchet MS" w:hAnsi="Trebuchet MS"/>
          <w:b/>
        </w:rPr>
        <w:t xml:space="preserve"> M4, M5</w:t>
      </w:r>
    </w:p>
    <w:p w:rsidR="00225B22" w:rsidRPr="00AA167C" w:rsidRDefault="00225B22" w:rsidP="00AA167C">
      <w:pPr>
        <w:pStyle w:val="ListParagraph"/>
        <w:numPr>
          <w:ilvl w:val="0"/>
          <w:numId w:val="10"/>
        </w:numPr>
        <w:spacing w:after="0" w:line="276" w:lineRule="auto"/>
        <w:jc w:val="both"/>
        <w:rPr>
          <w:rFonts w:ascii="Trebuchet MS" w:hAnsi="Trebuchet MS"/>
          <w:b/>
        </w:rPr>
      </w:pPr>
      <w:r w:rsidRPr="00AA167C">
        <w:rPr>
          <w:rFonts w:ascii="Trebuchet MS" w:hAnsi="Trebuchet MS"/>
          <w:b/>
        </w:rPr>
        <w:t xml:space="preserve">Valoarea adăugată a măsurii </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Sprijinul acordat prin această măsură, prin investițiile finanțate, va contribui la îmbunătățirea condițiilor de trai pentru populația locală și la stoparea fenomenului de depopulare din mediul rural prin reducerea decalajelor rural-urban, contribuie la punerea în valoare a moștenirii culturale locale, la promovarea turismului rural, conducând astfel la creșterea nivelului de trai în zona rurală şi la o dezvoltare locală durabilă. Relevanța măsurii în cadrul SDL este evidențiată prin faptul ca, abordând aspectele sociale și culturale alături de activități economice din zonă, aceasta aduce plus valoare nu numai nivelului de trai a populației din zonă, dar sprijină indirect actorii implicați în toate domeniile de activitate din raza GAL, conducând astfel la abordarea integrată a implementării SDL. </w:t>
      </w:r>
    </w:p>
    <w:p w:rsidR="00225B22" w:rsidRPr="00AA167C" w:rsidRDefault="00225B22" w:rsidP="00AA167C">
      <w:pPr>
        <w:pStyle w:val="ListParagraph"/>
        <w:numPr>
          <w:ilvl w:val="0"/>
          <w:numId w:val="10"/>
        </w:numPr>
        <w:spacing w:after="0" w:line="276" w:lineRule="auto"/>
        <w:jc w:val="both"/>
        <w:rPr>
          <w:rFonts w:ascii="Trebuchet MS" w:hAnsi="Trebuchet MS"/>
          <w:b/>
        </w:rPr>
      </w:pPr>
      <w:r w:rsidRPr="00AA167C">
        <w:rPr>
          <w:rFonts w:ascii="Trebuchet MS" w:hAnsi="Trebuchet MS"/>
          <w:b/>
        </w:rPr>
        <w:t>Trimiteri la alte acte legislative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292/2011 a asistenţei sociale,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215/2001 a administrației publice locale - republicată,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422/2001 privind protejarea monumentelor istorice,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Hotărârea de Guvern nr 26/2000 cu privire la asociații și fundații,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219/2015 privind economia socială</w:t>
      </w:r>
    </w:p>
    <w:p w:rsidR="00225B22" w:rsidRPr="00AA167C" w:rsidRDefault="00225B22" w:rsidP="00AA167C">
      <w:pPr>
        <w:pStyle w:val="ListParagraph"/>
        <w:numPr>
          <w:ilvl w:val="0"/>
          <w:numId w:val="10"/>
        </w:numPr>
        <w:spacing w:after="0" w:line="276" w:lineRule="auto"/>
        <w:jc w:val="both"/>
        <w:rPr>
          <w:rFonts w:ascii="Trebuchet MS" w:hAnsi="Trebuchet MS"/>
          <w:b/>
        </w:rPr>
      </w:pPr>
      <w:r w:rsidRPr="00AA167C">
        <w:rPr>
          <w:rFonts w:ascii="Trebuchet MS" w:hAnsi="Trebuchet MS"/>
          <w:b/>
        </w:rPr>
        <w:t>Beneficiari direcți/indirecți (grup țintă)</w:t>
      </w:r>
    </w:p>
    <w:p w:rsidR="00225B22" w:rsidRPr="00AA167C" w:rsidRDefault="00225B22" w:rsidP="00AA167C">
      <w:pPr>
        <w:pStyle w:val="ListParagraph"/>
        <w:numPr>
          <w:ilvl w:val="0"/>
          <w:numId w:val="11"/>
        </w:numPr>
        <w:spacing w:after="0" w:line="276" w:lineRule="auto"/>
        <w:jc w:val="both"/>
        <w:rPr>
          <w:rFonts w:ascii="Trebuchet MS" w:hAnsi="Trebuchet MS"/>
        </w:rPr>
      </w:pPr>
      <w:r w:rsidRPr="00AA167C">
        <w:rPr>
          <w:rFonts w:ascii="Trebuchet MS" w:hAnsi="Trebuchet MS"/>
        </w:rPr>
        <w:t>Unități administrativ teritoriale și asociații ale acestora constituite conform legii;</w:t>
      </w:r>
    </w:p>
    <w:p w:rsidR="00225B22" w:rsidRPr="00AA167C" w:rsidRDefault="00225B22" w:rsidP="00AA167C">
      <w:pPr>
        <w:pStyle w:val="ListParagraph"/>
        <w:numPr>
          <w:ilvl w:val="0"/>
          <w:numId w:val="11"/>
        </w:numPr>
        <w:spacing w:after="0" w:line="276" w:lineRule="auto"/>
        <w:jc w:val="both"/>
        <w:rPr>
          <w:rFonts w:ascii="Trebuchet MS" w:hAnsi="Trebuchet MS"/>
        </w:rPr>
      </w:pPr>
      <w:r w:rsidRPr="00AA167C">
        <w:rPr>
          <w:rFonts w:ascii="Trebuchet MS" w:hAnsi="Trebuchet MS"/>
        </w:rPr>
        <w:t>ONG constituite conform legii;</w:t>
      </w:r>
    </w:p>
    <w:p w:rsidR="00225B22" w:rsidRPr="00AA167C" w:rsidRDefault="00225B22" w:rsidP="00AA167C">
      <w:pPr>
        <w:pStyle w:val="ListParagraph"/>
        <w:numPr>
          <w:ilvl w:val="0"/>
          <w:numId w:val="11"/>
        </w:numPr>
        <w:spacing w:after="0" w:line="276" w:lineRule="auto"/>
        <w:jc w:val="both"/>
        <w:rPr>
          <w:rFonts w:ascii="Trebuchet MS" w:hAnsi="Trebuchet MS"/>
        </w:rPr>
      </w:pPr>
      <w:r w:rsidRPr="00AA167C">
        <w:rPr>
          <w:rFonts w:ascii="Trebuchet MS" w:hAnsi="Trebuchet MS"/>
        </w:rPr>
        <w:t>Parteneriate public private constituite conform legii;</w:t>
      </w:r>
    </w:p>
    <w:p w:rsidR="00225B22" w:rsidRPr="00AA167C" w:rsidRDefault="00225B22" w:rsidP="00AA167C">
      <w:pPr>
        <w:pStyle w:val="ListParagraph"/>
        <w:numPr>
          <w:ilvl w:val="0"/>
          <w:numId w:val="11"/>
        </w:numPr>
        <w:spacing w:after="0" w:line="276" w:lineRule="auto"/>
        <w:jc w:val="both"/>
        <w:rPr>
          <w:rFonts w:ascii="Trebuchet MS" w:hAnsi="Trebuchet MS"/>
        </w:rPr>
      </w:pPr>
      <w:r w:rsidRPr="00AA167C">
        <w:rPr>
          <w:rFonts w:ascii="Trebuchet MS" w:hAnsi="Trebuchet MS"/>
        </w:rPr>
        <w:t>Unități de cult;</w:t>
      </w:r>
    </w:p>
    <w:p w:rsidR="00225B22" w:rsidRPr="00AA167C" w:rsidRDefault="00225B22" w:rsidP="00AA167C">
      <w:pPr>
        <w:pStyle w:val="ListParagraph"/>
        <w:numPr>
          <w:ilvl w:val="0"/>
          <w:numId w:val="11"/>
        </w:numPr>
        <w:spacing w:after="0" w:line="276" w:lineRule="auto"/>
        <w:jc w:val="both"/>
        <w:rPr>
          <w:rFonts w:ascii="Trebuchet MS" w:hAnsi="Trebuchet MS"/>
        </w:rPr>
      </w:pPr>
      <w:r w:rsidRPr="00AA167C">
        <w:rPr>
          <w:rFonts w:ascii="Trebuchet MS" w:hAnsi="Trebuchet MS"/>
        </w:rPr>
        <w:t>Int</w:t>
      </w:r>
      <w:r>
        <w:rPr>
          <w:rFonts w:ascii="Trebuchet MS" w:hAnsi="Trebuchet MS"/>
        </w:rPr>
        <w:t>r</w:t>
      </w:r>
      <w:r w:rsidRPr="00AA167C">
        <w:rPr>
          <w:rFonts w:ascii="Trebuchet MS" w:hAnsi="Trebuchet MS"/>
        </w:rPr>
        <w:t>eprinderi sociale</w:t>
      </w:r>
      <w:r>
        <w:rPr>
          <w:rFonts w:ascii="Trebuchet MS" w:hAnsi="Trebuchet MS"/>
        </w:rPr>
        <w:t>.</w:t>
      </w:r>
      <w:r w:rsidRPr="00AA167C">
        <w:rPr>
          <w:rFonts w:ascii="Trebuchet MS" w:hAnsi="Trebuchet MS"/>
        </w:rPr>
        <w:t xml:space="preserve"> </w:t>
      </w:r>
    </w:p>
    <w:p w:rsidR="00225B22" w:rsidRPr="00AA167C" w:rsidRDefault="00225B22" w:rsidP="00AA167C">
      <w:pPr>
        <w:spacing w:after="0" w:line="276" w:lineRule="auto"/>
        <w:jc w:val="both"/>
        <w:rPr>
          <w:rFonts w:ascii="Trebuchet MS" w:hAnsi="Trebuchet MS"/>
        </w:rPr>
      </w:pPr>
      <w:r w:rsidRPr="00AA167C">
        <w:rPr>
          <w:rFonts w:ascii="Trebuchet MS" w:hAnsi="Trebuchet MS"/>
        </w:rPr>
        <w:t>Beneficiarii se vor acredita ca furnizori de servicii sociale pana la depunerea utimei transe de plata.</w:t>
      </w:r>
    </w:p>
    <w:p w:rsidR="00225B22" w:rsidRPr="00AA167C" w:rsidRDefault="00225B22" w:rsidP="00AA167C">
      <w:pPr>
        <w:pStyle w:val="ListParagraph"/>
        <w:numPr>
          <w:ilvl w:val="0"/>
          <w:numId w:val="10"/>
        </w:numPr>
        <w:spacing w:after="0" w:line="276" w:lineRule="auto"/>
        <w:jc w:val="both"/>
        <w:rPr>
          <w:rFonts w:ascii="Trebuchet MS" w:hAnsi="Trebuchet MS"/>
          <w:b/>
        </w:rPr>
      </w:pPr>
      <w:r w:rsidRPr="00AA167C">
        <w:rPr>
          <w:rFonts w:ascii="Trebuchet MS" w:hAnsi="Trebuchet MS"/>
          <w:b/>
        </w:rPr>
        <w:t>Tip de sprijin</w:t>
      </w:r>
    </w:p>
    <w:p w:rsidR="00225B22" w:rsidRPr="00AA167C" w:rsidRDefault="00225B22" w:rsidP="00AA167C">
      <w:pPr>
        <w:spacing w:after="0" w:line="276" w:lineRule="auto"/>
        <w:jc w:val="both"/>
        <w:rPr>
          <w:rFonts w:ascii="Trebuchet MS" w:hAnsi="Trebuchet MS"/>
        </w:rPr>
      </w:pPr>
      <w:r w:rsidRPr="00AA167C">
        <w:rPr>
          <w:rFonts w:ascii="Trebuchet MS" w:hAnsi="Trebuchet MS"/>
        </w:rPr>
        <w:t>In conformitate cu prevederile art. 67 al Reg. (UE) nr. 1303/2013, sprijinul constă în:</w:t>
      </w:r>
    </w:p>
    <w:p w:rsidR="00225B22" w:rsidRPr="00AA167C" w:rsidRDefault="00225B22" w:rsidP="00AA167C">
      <w:pPr>
        <w:pStyle w:val="ListParagraph"/>
        <w:numPr>
          <w:ilvl w:val="0"/>
          <w:numId w:val="11"/>
        </w:numPr>
        <w:spacing w:after="0" w:line="276" w:lineRule="auto"/>
        <w:jc w:val="both"/>
        <w:rPr>
          <w:rFonts w:ascii="Trebuchet MS" w:hAnsi="Trebuchet MS"/>
        </w:rPr>
      </w:pPr>
      <w:r w:rsidRPr="00AA167C">
        <w:rPr>
          <w:rFonts w:ascii="Trebuchet MS" w:hAnsi="Trebuchet MS"/>
        </w:rPr>
        <w:t>Rambursarea costurilor eligibile suportate și plătite efectiv</w:t>
      </w:r>
    </w:p>
    <w:p w:rsidR="00225B22" w:rsidRPr="00AA167C" w:rsidRDefault="00225B22" w:rsidP="00AA167C">
      <w:pPr>
        <w:pStyle w:val="ListParagraph"/>
        <w:numPr>
          <w:ilvl w:val="0"/>
          <w:numId w:val="11"/>
        </w:numPr>
        <w:spacing w:after="0" w:line="276" w:lineRule="auto"/>
        <w:jc w:val="both"/>
        <w:rPr>
          <w:rFonts w:ascii="Trebuchet MS" w:hAnsi="Trebuchet MS"/>
        </w:rPr>
      </w:pPr>
      <w:r w:rsidRPr="00AA167C">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225B22" w:rsidRPr="00AA167C" w:rsidRDefault="00225B22" w:rsidP="00AA167C">
      <w:pPr>
        <w:pStyle w:val="ListParagraph"/>
        <w:numPr>
          <w:ilvl w:val="0"/>
          <w:numId w:val="10"/>
        </w:numPr>
        <w:spacing w:after="0" w:line="276" w:lineRule="auto"/>
        <w:jc w:val="both"/>
        <w:rPr>
          <w:rFonts w:ascii="Trebuchet MS" w:hAnsi="Trebuchet MS"/>
          <w:b/>
        </w:rPr>
      </w:pPr>
      <w:r w:rsidRPr="00AA167C">
        <w:rPr>
          <w:rFonts w:ascii="Trebuchet MS" w:hAnsi="Trebuchet MS"/>
          <w:b/>
        </w:rPr>
        <w:t>Tipuri de acțiuni eligibile și neeligibile</w:t>
      </w:r>
    </w:p>
    <w:p w:rsidR="00225B22" w:rsidRPr="00666E95" w:rsidRDefault="00225B22" w:rsidP="00AA167C">
      <w:pPr>
        <w:spacing w:after="0" w:line="276" w:lineRule="auto"/>
        <w:jc w:val="both"/>
        <w:rPr>
          <w:rFonts w:ascii="Trebuchet MS" w:hAnsi="Trebuchet MS"/>
          <w:i/>
        </w:rPr>
      </w:pPr>
      <w:r w:rsidRPr="00666E95">
        <w:rPr>
          <w:rFonts w:ascii="Trebuchet MS" w:hAnsi="Trebuchet MS"/>
          <w:i/>
        </w:rPr>
        <w:t>Acțiuni eligibile:</w:t>
      </w:r>
    </w:p>
    <w:p w:rsidR="00225B22" w:rsidRPr="00666E95" w:rsidRDefault="00225B22" w:rsidP="00AA167C">
      <w:pPr>
        <w:spacing w:after="0" w:line="276" w:lineRule="auto"/>
        <w:ind w:firstLine="708"/>
        <w:jc w:val="both"/>
        <w:rPr>
          <w:rFonts w:ascii="Trebuchet MS" w:hAnsi="Trebuchet MS"/>
        </w:rPr>
      </w:pPr>
      <w:r w:rsidRPr="00666E95">
        <w:rPr>
          <w:rFonts w:ascii="Trebuchet MS" w:hAnsi="Trebuchet MS"/>
        </w:rPr>
        <w:t>1.investitii in construirea/amenajarea , modernizarea, inlcusiv dotarea cladirilor destinate asistentei sociale  astfel :</w:t>
      </w:r>
    </w:p>
    <w:p w:rsidR="00225B22" w:rsidRPr="00666E95" w:rsidRDefault="00225B22" w:rsidP="00AA167C">
      <w:pPr>
        <w:spacing w:after="0" w:line="276" w:lineRule="auto"/>
        <w:jc w:val="both"/>
        <w:rPr>
          <w:rFonts w:ascii="Trebuchet MS" w:hAnsi="Trebuchet MS"/>
        </w:rPr>
      </w:pPr>
      <w:r w:rsidRPr="00666E95">
        <w:rPr>
          <w:rFonts w:ascii="Trebuchet MS" w:hAnsi="Trebuchet MS"/>
        </w:rPr>
        <w:t xml:space="preserve">- centre de zi pentru copii </w:t>
      </w:r>
    </w:p>
    <w:p w:rsidR="00225B22" w:rsidRPr="00666E95" w:rsidRDefault="00225B22" w:rsidP="00AA167C">
      <w:pPr>
        <w:spacing w:after="0" w:line="276" w:lineRule="auto"/>
        <w:jc w:val="both"/>
        <w:rPr>
          <w:rFonts w:ascii="Trebuchet MS" w:hAnsi="Trebuchet MS"/>
        </w:rPr>
      </w:pPr>
      <w:r w:rsidRPr="00666E95">
        <w:rPr>
          <w:rFonts w:ascii="Trebuchet MS" w:hAnsi="Trebuchet MS"/>
        </w:rPr>
        <w:t xml:space="preserve">- centre sociale/asistență medicală primară, </w:t>
      </w:r>
    </w:p>
    <w:p w:rsidR="00225B22" w:rsidRPr="00666E95" w:rsidRDefault="00225B22" w:rsidP="00AA167C">
      <w:pPr>
        <w:spacing w:after="0" w:line="276" w:lineRule="auto"/>
        <w:jc w:val="both"/>
        <w:rPr>
          <w:rFonts w:ascii="Trebuchet MS" w:hAnsi="Trebuchet MS"/>
        </w:rPr>
      </w:pPr>
      <w:r w:rsidRPr="00666E95">
        <w:rPr>
          <w:rFonts w:ascii="Trebuchet MS" w:hAnsi="Trebuchet MS"/>
        </w:rPr>
        <w:t xml:space="preserve">      2.Servicii pentru protecţia copilului, a cărei misiune este de a preveni abandonul și instituţionalizarea copiilor, prin asigurarea, pe timpul zilei :</w:t>
      </w:r>
    </w:p>
    <w:p w:rsidR="00225B22" w:rsidRPr="00666E95" w:rsidRDefault="00225B22" w:rsidP="00AA167C">
      <w:pPr>
        <w:spacing w:after="0" w:line="276" w:lineRule="auto"/>
        <w:jc w:val="both"/>
        <w:rPr>
          <w:rFonts w:ascii="Trebuchet MS" w:hAnsi="Trebuchet MS"/>
        </w:rPr>
      </w:pPr>
      <w:r w:rsidRPr="00666E95">
        <w:rPr>
          <w:rFonts w:ascii="Trebuchet MS" w:hAnsi="Trebuchet MS"/>
        </w:rPr>
        <w:t xml:space="preserve">-a unor activităţi de îngrijire, educaţie, recreere-socializare, consiliere, dezvoltarea deprinderilor de viaţă independentă, orientare școlară și profesională pentru copii, cât și a unor activităţi de sprijin, consiliere, educare pentru părinţi sau reprezentanţii legali, precum și pentru alte persoane care au în îngrijire copii; </w:t>
      </w:r>
    </w:p>
    <w:p w:rsidR="00225B22" w:rsidRPr="00666E95" w:rsidRDefault="00225B22" w:rsidP="00AA167C">
      <w:pPr>
        <w:spacing w:after="0" w:line="276" w:lineRule="auto"/>
        <w:jc w:val="both"/>
        <w:rPr>
          <w:rFonts w:ascii="Trebuchet MS" w:hAnsi="Trebuchet MS"/>
        </w:rPr>
      </w:pPr>
      <w:r>
        <w:rPr>
          <w:rFonts w:ascii="Trebuchet MS" w:hAnsi="Trebuchet MS"/>
        </w:rPr>
        <w:t xml:space="preserve">     3. A</w:t>
      </w:r>
      <w:r w:rsidRPr="00666E95">
        <w:rPr>
          <w:rFonts w:ascii="Trebuchet MS" w:hAnsi="Trebuchet MS"/>
        </w:rPr>
        <w:t>ctiuni  de incluziune sociala destinate copiilor de etnie roma, ca:</w:t>
      </w:r>
    </w:p>
    <w:p w:rsidR="00225B22" w:rsidRPr="00666E95" w:rsidRDefault="00225B22" w:rsidP="00ED7A92">
      <w:pPr>
        <w:spacing w:after="0" w:line="276" w:lineRule="auto"/>
        <w:ind w:firstLine="708"/>
        <w:jc w:val="both"/>
        <w:rPr>
          <w:rFonts w:ascii="Trebuchet MS" w:hAnsi="Trebuchet MS"/>
        </w:rPr>
      </w:pPr>
      <w:r w:rsidRPr="00666E95">
        <w:rPr>
          <w:rFonts w:ascii="Trebuchet MS" w:hAnsi="Trebuchet MS"/>
        </w:rPr>
        <w:t xml:space="preserve">- informarea si consilierea parintiilor de etnie roma </w:t>
      </w:r>
    </w:p>
    <w:p w:rsidR="00225B22" w:rsidRPr="00AA167C" w:rsidRDefault="00225B22" w:rsidP="00ED7A92">
      <w:pPr>
        <w:spacing w:after="0" w:line="276" w:lineRule="auto"/>
        <w:ind w:firstLine="708"/>
        <w:jc w:val="both"/>
        <w:rPr>
          <w:rFonts w:ascii="Trebuchet MS" w:hAnsi="Trebuchet MS"/>
        </w:rPr>
      </w:pPr>
      <w:r w:rsidRPr="00666E95">
        <w:rPr>
          <w:rFonts w:ascii="Trebuchet MS" w:hAnsi="Trebuchet MS"/>
        </w:rPr>
        <w:t>- activitati destinate  copiilor de etnie rroma in vederea cresterii ratei de participare scolara  si prescolara.</w:t>
      </w:r>
    </w:p>
    <w:p w:rsidR="00225B22" w:rsidRPr="00AA167C" w:rsidRDefault="00225B22" w:rsidP="00ED7A92">
      <w:pPr>
        <w:spacing w:after="0" w:line="276" w:lineRule="auto"/>
        <w:ind w:firstLine="708"/>
        <w:jc w:val="both"/>
        <w:rPr>
          <w:rFonts w:ascii="Trebuchet MS" w:hAnsi="Trebuchet MS"/>
        </w:rPr>
      </w:pPr>
      <w:r>
        <w:rPr>
          <w:rFonts w:ascii="Trebuchet MS" w:hAnsi="Trebuchet MS"/>
        </w:rPr>
        <w:t xml:space="preserve">- </w:t>
      </w:r>
      <w:r w:rsidRPr="00AA167C">
        <w:rPr>
          <w:rFonts w:ascii="Trebuchet MS" w:hAnsi="Trebuchet MS"/>
        </w:rPr>
        <w:t>ateliere tematice pentru  dezvoltare personala si creativa a  copiilor de etnie roma.</w:t>
      </w:r>
    </w:p>
    <w:p w:rsidR="00225B22" w:rsidRPr="00AA167C" w:rsidRDefault="00225B22" w:rsidP="00AA167C">
      <w:pPr>
        <w:spacing w:after="0" w:line="276" w:lineRule="auto"/>
        <w:jc w:val="both"/>
        <w:rPr>
          <w:rFonts w:ascii="Trebuchet MS" w:hAnsi="Trebuchet MS"/>
        </w:rPr>
      </w:pPr>
      <w:r>
        <w:rPr>
          <w:rFonts w:ascii="Trebuchet MS" w:hAnsi="Trebuchet MS"/>
        </w:rPr>
        <w:t xml:space="preserve">    4. C</w:t>
      </w:r>
      <w:r w:rsidRPr="00AA167C">
        <w:rPr>
          <w:rFonts w:ascii="Trebuchet MS" w:hAnsi="Trebuchet MS"/>
        </w:rPr>
        <w:t>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w:t>
      </w:r>
      <w:r>
        <w:rPr>
          <w:rFonts w:ascii="Trebuchet MS" w:hAnsi="Trebuchet MS"/>
        </w:rPr>
        <w:t xml:space="preserve"> </w:t>
      </w:r>
      <w:r w:rsidRPr="00AA167C">
        <w:rPr>
          <w:rFonts w:ascii="Trebuchet MS" w:hAnsi="Trebuchet MS"/>
        </w:rPr>
        <w:t>inclusiv studiile de fezabilitate, vor fi realizate în limita a 10% din totalul cheltuielilor</w:t>
      </w:r>
      <w:r>
        <w:rPr>
          <w:rFonts w:ascii="Trebuchet MS" w:hAnsi="Trebuchet MS"/>
        </w:rPr>
        <w:t xml:space="preserve"> </w:t>
      </w:r>
      <w:r w:rsidRPr="00AA167C">
        <w:rPr>
          <w:rFonts w:ascii="Trebuchet MS" w:hAnsi="Trebuchet MS"/>
        </w:rPr>
        <w:t>eligibile pentru proiectele care prevăd și construcții - montaj, și în limita a 5% pentru</w:t>
      </w:r>
      <w:r>
        <w:rPr>
          <w:rFonts w:ascii="Trebuchet MS" w:hAnsi="Trebuchet MS"/>
        </w:rPr>
        <w:t xml:space="preserve"> </w:t>
      </w:r>
      <w:r w:rsidRPr="00AA167C">
        <w:rPr>
          <w:rFonts w:ascii="Trebuchet MS" w:hAnsi="Trebuchet MS"/>
        </w:rPr>
        <w:t>proiectele care prevăd simpla achiziție.</w:t>
      </w:r>
    </w:p>
    <w:p w:rsidR="00225B22" w:rsidRPr="00ED7A92" w:rsidRDefault="00225B22" w:rsidP="00AA167C">
      <w:pPr>
        <w:spacing w:after="0" w:line="276" w:lineRule="auto"/>
        <w:jc w:val="both"/>
        <w:rPr>
          <w:rFonts w:ascii="Trebuchet MS" w:hAnsi="Trebuchet MS"/>
          <w:i/>
        </w:rPr>
      </w:pPr>
      <w:r w:rsidRPr="00ED7A92">
        <w:rPr>
          <w:rFonts w:ascii="Trebuchet MS" w:hAnsi="Trebuchet MS"/>
          <w:i/>
        </w:rPr>
        <w:t>Acțiuni neeligibile:</w:t>
      </w:r>
    </w:p>
    <w:p w:rsidR="00225B22" w:rsidRPr="00666E95" w:rsidRDefault="00225B22" w:rsidP="00666E95">
      <w:pPr>
        <w:pStyle w:val="ListParagraph"/>
        <w:numPr>
          <w:ilvl w:val="0"/>
          <w:numId w:val="11"/>
        </w:numPr>
        <w:spacing w:after="0" w:line="276" w:lineRule="auto"/>
        <w:jc w:val="both"/>
        <w:rPr>
          <w:rFonts w:ascii="Trebuchet MS" w:hAnsi="Trebuchet MS"/>
        </w:rPr>
      </w:pPr>
      <w:r w:rsidRPr="00666E95">
        <w:rPr>
          <w:rFonts w:ascii="Trebuchet MS" w:hAnsi="Trebuchet MS"/>
        </w:rPr>
        <w:t>Investițiile finanțate din alte fonduri publice</w:t>
      </w:r>
    </w:p>
    <w:p w:rsidR="00225B22" w:rsidRPr="00666E95" w:rsidRDefault="00225B22" w:rsidP="00666E95">
      <w:pPr>
        <w:pStyle w:val="ListParagraph"/>
        <w:numPr>
          <w:ilvl w:val="0"/>
          <w:numId w:val="11"/>
        </w:numPr>
        <w:spacing w:after="0" w:line="276" w:lineRule="auto"/>
        <w:jc w:val="both"/>
        <w:rPr>
          <w:rFonts w:ascii="Trebuchet MS" w:hAnsi="Trebuchet MS"/>
        </w:rPr>
      </w:pPr>
      <w:r w:rsidRPr="00666E95">
        <w:rPr>
          <w:rFonts w:ascii="Trebuchet MS" w:hAnsi="Trebuchet MS"/>
        </w:rPr>
        <w:t>Bunuri second-hand;</w:t>
      </w:r>
    </w:p>
    <w:p w:rsidR="00225B22" w:rsidRPr="00666E95" w:rsidRDefault="00225B22" w:rsidP="00666E95">
      <w:pPr>
        <w:pStyle w:val="ListParagraph"/>
        <w:numPr>
          <w:ilvl w:val="0"/>
          <w:numId w:val="11"/>
        </w:numPr>
        <w:spacing w:after="0" w:line="276" w:lineRule="auto"/>
        <w:jc w:val="both"/>
        <w:rPr>
          <w:rFonts w:ascii="Trebuchet MS" w:hAnsi="Trebuchet MS"/>
        </w:rPr>
      </w:pPr>
      <w:r w:rsidRPr="00666E95">
        <w:rPr>
          <w:rFonts w:ascii="Trebuchet MS" w:hAnsi="Trebuchet MS"/>
        </w:rPr>
        <w:t>Contribuția în natură;</w:t>
      </w:r>
    </w:p>
    <w:p w:rsidR="00225B22" w:rsidRPr="00666E95" w:rsidRDefault="00225B22" w:rsidP="00666E95">
      <w:pPr>
        <w:pStyle w:val="ListParagraph"/>
        <w:numPr>
          <w:ilvl w:val="0"/>
          <w:numId w:val="11"/>
        </w:numPr>
        <w:spacing w:after="0" w:line="276" w:lineRule="auto"/>
        <w:jc w:val="both"/>
        <w:rPr>
          <w:rFonts w:ascii="Trebuchet MS" w:hAnsi="Trebuchet MS"/>
        </w:rPr>
      </w:pPr>
      <w:r w:rsidRPr="00666E95">
        <w:rPr>
          <w:rFonts w:ascii="Trebuchet MS" w:hAnsi="Trebuchet MS"/>
        </w:rPr>
        <w:t>Costuri privind închirierea de mașini, utilaje, instalații și echipamente;</w:t>
      </w:r>
    </w:p>
    <w:p w:rsidR="00225B22" w:rsidRPr="00666E95" w:rsidRDefault="00225B22" w:rsidP="00666E95">
      <w:pPr>
        <w:pStyle w:val="ListParagraph"/>
        <w:numPr>
          <w:ilvl w:val="0"/>
          <w:numId w:val="11"/>
        </w:numPr>
        <w:spacing w:after="0" w:line="276" w:lineRule="auto"/>
        <w:jc w:val="both"/>
        <w:rPr>
          <w:rFonts w:ascii="Trebuchet MS" w:hAnsi="Trebuchet MS"/>
        </w:rPr>
      </w:pPr>
      <w:r w:rsidRPr="00666E95">
        <w:rPr>
          <w:rFonts w:ascii="Trebuchet MS" w:hAnsi="Trebuchet MS"/>
        </w:rPr>
        <w:t>Costuri operaționale inclusiv costuri de întreținere și chirie.</w:t>
      </w:r>
    </w:p>
    <w:p w:rsidR="00225B22" w:rsidRPr="00ED7A92" w:rsidRDefault="00225B22" w:rsidP="00ED7A92">
      <w:pPr>
        <w:pStyle w:val="ListParagraph"/>
        <w:numPr>
          <w:ilvl w:val="0"/>
          <w:numId w:val="10"/>
        </w:numPr>
        <w:spacing w:after="0" w:line="276" w:lineRule="auto"/>
        <w:jc w:val="both"/>
        <w:rPr>
          <w:rFonts w:ascii="Trebuchet MS" w:hAnsi="Trebuchet MS"/>
          <w:b/>
        </w:rPr>
      </w:pPr>
      <w:r w:rsidRPr="00ED7A92">
        <w:rPr>
          <w:rFonts w:ascii="Trebuchet MS" w:hAnsi="Trebuchet MS"/>
          <w:b/>
        </w:rPr>
        <w:t>Condiții de eligibilitate</w:t>
      </w:r>
    </w:p>
    <w:p w:rsidR="00225B22" w:rsidRPr="00ED7A92" w:rsidRDefault="00225B22" w:rsidP="00ED7A92">
      <w:pPr>
        <w:pStyle w:val="ListParagraph"/>
        <w:numPr>
          <w:ilvl w:val="0"/>
          <w:numId w:val="12"/>
        </w:numPr>
        <w:spacing w:after="0" w:line="276" w:lineRule="auto"/>
        <w:ind w:left="142" w:hanging="142"/>
        <w:jc w:val="both"/>
        <w:rPr>
          <w:rFonts w:ascii="Trebuchet MS" w:hAnsi="Trebuchet MS"/>
        </w:rPr>
      </w:pPr>
      <w:r w:rsidRPr="00ED7A92">
        <w:rPr>
          <w:rFonts w:ascii="Trebuchet MS" w:hAnsi="Trebuchet MS"/>
        </w:rPr>
        <w:t>Solicitantul trebuie să se încadreze în categoria beneficiarilor eligibili;</w:t>
      </w:r>
    </w:p>
    <w:p w:rsidR="00225B22" w:rsidRPr="00AA167C" w:rsidRDefault="00225B22" w:rsidP="00AA167C">
      <w:pPr>
        <w:spacing w:after="0" w:line="276" w:lineRule="auto"/>
        <w:jc w:val="both"/>
        <w:rPr>
          <w:rFonts w:ascii="Trebuchet MS" w:hAnsi="Trebuchet MS"/>
        </w:rPr>
      </w:pPr>
      <w:r w:rsidRPr="00AA167C">
        <w:rPr>
          <w:rFonts w:ascii="Trebuchet MS" w:hAnsi="Trebuchet MS"/>
        </w:rPr>
        <w:t>• Solicitantul trebuie să se angajeze să asigure întreținerea/mentenanța investiţiei pe o perioadă de minim 5 ani de la ultima plată;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Solicitantul trebuie să nu fie în insolvenţă sau incapacitate de plată;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se încadreze în cel puțin unul din tipurile de sprijin prevăzute prin măsură;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să se realizeze în teritoriul GAL;</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fie în corelare cu strategia de dezvoltare locală;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respecte Planul Urbanistic General (dacă este cazul);</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demonstreze necesitatea, oportunitatea și potențialul economic al acesteia.</w:t>
      </w:r>
    </w:p>
    <w:p w:rsidR="00225B22" w:rsidRPr="00ED7A92" w:rsidRDefault="00225B22" w:rsidP="00ED7A92">
      <w:pPr>
        <w:pStyle w:val="ListParagraph"/>
        <w:numPr>
          <w:ilvl w:val="0"/>
          <w:numId w:val="10"/>
        </w:numPr>
        <w:spacing w:after="0" w:line="276" w:lineRule="auto"/>
        <w:jc w:val="both"/>
        <w:rPr>
          <w:rFonts w:ascii="Trebuchet MS" w:hAnsi="Trebuchet MS"/>
          <w:b/>
        </w:rPr>
      </w:pPr>
      <w:r w:rsidRPr="00ED7A92">
        <w:rPr>
          <w:rFonts w:ascii="Trebuchet MS" w:hAnsi="Trebuchet MS"/>
          <w:b/>
        </w:rPr>
        <w:t>Criterii de selecție</w:t>
      </w:r>
    </w:p>
    <w:p w:rsidR="00225B22" w:rsidRPr="00AA167C" w:rsidRDefault="00225B22" w:rsidP="00AA167C">
      <w:pPr>
        <w:spacing w:after="0" w:line="276" w:lineRule="auto"/>
        <w:jc w:val="both"/>
        <w:rPr>
          <w:rFonts w:ascii="Trebuchet MS" w:hAnsi="Trebuchet MS"/>
        </w:rPr>
      </w:pPr>
      <w:r w:rsidRPr="00AA167C">
        <w:rPr>
          <w:rFonts w:ascii="Trebuchet MS" w:hAnsi="Trebuchet MS"/>
        </w:rPr>
        <w:t>Principiul gradului de acoperire a populației deservite</w:t>
      </w:r>
    </w:p>
    <w:p w:rsidR="00225B22" w:rsidRPr="00AA167C" w:rsidRDefault="00225B22" w:rsidP="00AA167C">
      <w:pPr>
        <w:spacing w:after="0" w:line="276" w:lineRule="auto"/>
        <w:jc w:val="both"/>
        <w:rPr>
          <w:rFonts w:ascii="Trebuchet MS" w:hAnsi="Trebuchet MS"/>
        </w:rPr>
      </w:pPr>
      <w:r w:rsidRPr="00AA167C">
        <w:rPr>
          <w:rFonts w:ascii="Trebuchet MS" w:hAnsi="Trebuchet MS"/>
        </w:rPr>
        <w:t>Principiul prioritizării investițiilor sociale.</w:t>
      </w:r>
    </w:p>
    <w:p w:rsidR="00225B22" w:rsidRPr="00AA167C" w:rsidRDefault="00225B22" w:rsidP="00AA167C">
      <w:pPr>
        <w:spacing w:after="0" w:line="276" w:lineRule="auto"/>
        <w:jc w:val="both"/>
        <w:rPr>
          <w:rFonts w:ascii="Trebuchet MS" w:hAnsi="Trebuchet MS"/>
        </w:rPr>
      </w:pPr>
      <w:r w:rsidRPr="00AA167C">
        <w:rPr>
          <w:rFonts w:ascii="Trebuchet MS" w:hAnsi="Trebuchet MS"/>
        </w:rPr>
        <w:t>Principiul prioritizării actinunilor dest</w:t>
      </w:r>
      <w:r>
        <w:rPr>
          <w:rFonts w:ascii="Trebuchet MS" w:hAnsi="Trebuchet MS"/>
        </w:rPr>
        <w:t>inate personelor de etnie roma.</w:t>
      </w:r>
    </w:p>
    <w:p w:rsidR="00225B22" w:rsidRPr="00AA167C" w:rsidRDefault="00225B22" w:rsidP="00AA167C">
      <w:pPr>
        <w:spacing w:after="0" w:line="276" w:lineRule="auto"/>
        <w:jc w:val="both"/>
        <w:rPr>
          <w:rFonts w:ascii="Trebuchet MS" w:hAnsi="Trebuchet MS"/>
        </w:rPr>
      </w:pPr>
    </w:p>
    <w:p w:rsidR="00225B22" w:rsidRPr="00AA167C" w:rsidRDefault="00225B22" w:rsidP="00AA167C">
      <w:pPr>
        <w:spacing w:after="0" w:line="276" w:lineRule="auto"/>
        <w:jc w:val="both"/>
        <w:rPr>
          <w:rFonts w:ascii="Trebuchet MS" w:hAnsi="Trebuchet MS"/>
        </w:rPr>
      </w:pPr>
      <w:r w:rsidRPr="00AA167C">
        <w:rPr>
          <w:rFonts w:ascii="Trebuchet MS" w:hAnsi="Trebuchet MS"/>
        </w:rPr>
        <w:t>Detalierea aplicării principiilor de selecție și punctarea acestora se vor prezenta în Ghidul s</w:t>
      </w:r>
      <w:r>
        <w:rPr>
          <w:rFonts w:ascii="Trebuchet MS" w:hAnsi="Trebuchet MS"/>
        </w:rPr>
        <w:t>o</w:t>
      </w:r>
      <w:r w:rsidRPr="00AA167C">
        <w:rPr>
          <w:rFonts w:ascii="Trebuchet MS" w:hAnsi="Trebuchet MS"/>
        </w:rPr>
        <w:t>licitantului.</w:t>
      </w:r>
    </w:p>
    <w:p w:rsidR="00225B22" w:rsidRPr="00ED7A92" w:rsidRDefault="00225B22" w:rsidP="00ED7A92">
      <w:pPr>
        <w:pStyle w:val="ListParagraph"/>
        <w:numPr>
          <w:ilvl w:val="0"/>
          <w:numId w:val="10"/>
        </w:numPr>
        <w:spacing w:after="0" w:line="276" w:lineRule="auto"/>
        <w:jc w:val="both"/>
        <w:rPr>
          <w:rFonts w:ascii="Trebuchet MS" w:hAnsi="Trebuchet MS"/>
          <w:b/>
        </w:rPr>
      </w:pPr>
      <w:r w:rsidRPr="00ED7A92">
        <w:rPr>
          <w:rFonts w:ascii="Trebuchet MS" w:hAnsi="Trebuchet MS"/>
          <w:b/>
        </w:rPr>
        <w:t>Sume (aplicabile) și rata sprijinului</w:t>
      </w:r>
    </w:p>
    <w:p w:rsidR="00225B22" w:rsidRPr="00666E95" w:rsidRDefault="00225B22" w:rsidP="00AA167C">
      <w:pPr>
        <w:spacing w:after="0" w:line="276" w:lineRule="auto"/>
        <w:jc w:val="both"/>
        <w:rPr>
          <w:rFonts w:ascii="Trebuchet MS" w:hAnsi="Trebuchet MS"/>
        </w:rPr>
      </w:pPr>
      <w:r w:rsidRPr="00666E95">
        <w:rPr>
          <w:rFonts w:ascii="Trebuchet MS" w:hAnsi="Trebuchet MS"/>
        </w:rPr>
        <w:t>Sprijinul nerambursabil nu va depăși suma de 200 000 euro/proiect. Intensitatea sprijinului va fi de 100% din costurile eligibile pentru investițiile negeneratoare de venituri nete și max. 90% din costurile eligibile pentru investițiile generatoare de venituri nete.</w:t>
      </w:r>
    </w:p>
    <w:p w:rsidR="00225B22" w:rsidRPr="00AA167C" w:rsidRDefault="00225B22" w:rsidP="00AA167C">
      <w:pPr>
        <w:spacing w:after="0" w:line="276" w:lineRule="auto"/>
        <w:jc w:val="both"/>
        <w:rPr>
          <w:rFonts w:ascii="Trebuchet MS" w:hAnsi="Trebuchet MS"/>
        </w:rPr>
      </w:pPr>
      <w:r w:rsidRPr="00666E95">
        <w:rPr>
          <w:rFonts w:ascii="Trebuchet MS" w:hAnsi="Trebuchet MS"/>
        </w:rPr>
        <w:t>Informaţii detaliate privind: depunerea proiectelor, selecţia, categoriile de beneficiari, costurile eligibile şi neeligibile, termene - limită şi condiţii pentru depunerea cererilor de plată a avansului şi a celor aferente tranşelor de plată, tipurile de documente, avize, autorizaţii sau studii, după caz, se vor detalia în Ghidul solicitantului.</w:t>
      </w:r>
      <w:bookmarkStart w:id="0" w:name="_GoBack"/>
      <w:bookmarkEnd w:id="0"/>
    </w:p>
    <w:p w:rsidR="00225B22" w:rsidRPr="00ED7A92" w:rsidRDefault="00225B22" w:rsidP="00ED7A92">
      <w:pPr>
        <w:pStyle w:val="ListParagraph"/>
        <w:numPr>
          <w:ilvl w:val="0"/>
          <w:numId w:val="10"/>
        </w:numPr>
        <w:spacing w:after="0" w:line="276" w:lineRule="auto"/>
        <w:jc w:val="both"/>
        <w:rPr>
          <w:rFonts w:ascii="Trebuchet MS" w:hAnsi="Trebuchet MS"/>
          <w:b/>
        </w:rPr>
      </w:pPr>
      <w:r w:rsidRPr="00ED7A92">
        <w:rPr>
          <w:rFonts w:ascii="Trebuchet MS" w:hAnsi="Trebuchet MS"/>
          <w:b/>
        </w:rPr>
        <w:t xml:space="preserve">Indicatori de monitorizare </w:t>
      </w:r>
    </w:p>
    <w:p w:rsidR="00225B22" w:rsidRPr="00AA167C" w:rsidRDefault="00225B22" w:rsidP="00AA167C">
      <w:pPr>
        <w:spacing w:after="0" w:line="276" w:lineRule="auto"/>
        <w:jc w:val="both"/>
        <w:rPr>
          <w:rFonts w:ascii="Trebuchet MS" w:hAnsi="Trebuchet MS"/>
        </w:rPr>
      </w:pPr>
      <w:r>
        <w:rPr>
          <w:rFonts w:ascii="Trebuchet MS" w:hAnsi="Trebuchet MS"/>
        </w:rPr>
        <w:t>Avâ</w:t>
      </w:r>
      <w:r w:rsidRPr="00AA167C">
        <w:rPr>
          <w:rFonts w:ascii="Trebuchet MS" w:hAnsi="Trebuchet MS"/>
        </w:rPr>
        <w:t>nd în vedere ca masura se încadrează în domeniul de intervenție 6B, cu domeniu complementar 6A,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901"/>
        <w:gridCol w:w="2664"/>
      </w:tblGrid>
      <w:tr w:rsidR="00225B22" w:rsidRPr="00114FE8">
        <w:tc>
          <w:tcPr>
            <w:tcW w:w="2777"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Domeniul de intervenție</w:t>
            </w:r>
          </w:p>
        </w:tc>
        <w:tc>
          <w:tcPr>
            <w:tcW w:w="2901"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Indicator de monitorizare</w:t>
            </w:r>
          </w:p>
        </w:tc>
        <w:tc>
          <w:tcPr>
            <w:tcW w:w="2664"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UM</w:t>
            </w:r>
          </w:p>
        </w:tc>
      </w:tr>
      <w:tr w:rsidR="00225B22" w:rsidRPr="00114FE8">
        <w:tc>
          <w:tcPr>
            <w:tcW w:w="2777"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6B</w:t>
            </w:r>
          </w:p>
        </w:tc>
        <w:tc>
          <w:tcPr>
            <w:tcW w:w="2901"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Populație netă care beneficiază de servicii/infrastructuri îmbunătățite</w:t>
            </w:r>
          </w:p>
        </w:tc>
        <w:tc>
          <w:tcPr>
            <w:tcW w:w="2664"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Nr 20 persoane ingrijire</w:t>
            </w:r>
          </w:p>
          <w:p w:rsidR="00225B22" w:rsidRPr="00114FE8" w:rsidRDefault="00225B22" w:rsidP="00114FE8">
            <w:pPr>
              <w:spacing w:after="0" w:line="276" w:lineRule="auto"/>
              <w:jc w:val="both"/>
              <w:rPr>
                <w:rFonts w:ascii="Trebuchet MS" w:hAnsi="Trebuchet MS"/>
              </w:rPr>
            </w:pPr>
            <w:r w:rsidRPr="00114FE8">
              <w:rPr>
                <w:rFonts w:ascii="Trebuchet MS" w:hAnsi="Trebuchet MS"/>
              </w:rPr>
              <w:t>/80 persoane consiliere</w:t>
            </w:r>
          </w:p>
        </w:tc>
      </w:tr>
      <w:tr w:rsidR="00225B22" w:rsidRPr="00114FE8">
        <w:tc>
          <w:tcPr>
            <w:tcW w:w="2777"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6A</w:t>
            </w:r>
          </w:p>
        </w:tc>
        <w:tc>
          <w:tcPr>
            <w:tcW w:w="2901"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Locuri de muncă create</w:t>
            </w:r>
          </w:p>
        </w:tc>
        <w:tc>
          <w:tcPr>
            <w:tcW w:w="2664"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Nr 1</w:t>
            </w:r>
          </w:p>
        </w:tc>
      </w:tr>
    </w:tbl>
    <w:p w:rsidR="00225B22" w:rsidRPr="00220254" w:rsidRDefault="00225B22" w:rsidP="00220254">
      <w:pPr>
        <w:spacing w:after="0"/>
        <w:ind w:firstLine="708"/>
        <w:jc w:val="both"/>
        <w:rPr>
          <w:rFonts w:ascii="Trebuchet MS" w:hAnsi="Trebuchet MS"/>
          <w:b/>
        </w:rPr>
      </w:pPr>
    </w:p>
    <w:sectPr w:rsidR="00225B22" w:rsidRPr="00220254" w:rsidSect="007373DE">
      <w:pgSz w:w="11906" w:h="16838" w:code="9"/>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79"/>
    <w:multiLevelType w:val="hybridMultilevel"/>
    <w:tmpl w:val="2D7EB7B8"/>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16A14BFD"/>
    <w:multiLevelType w:val="hybridMultilevel"/>
    <w:tmpl w:val="A7C26E98"/>
    <w:lvl w:ilvl="0" w:tplc="04180001">
      <w:start w:val="1"/>
      <w:numFmt w:val="bullet"/>
      <w:lvlText w:val=""/>
      <w:lvlJc w:val="left"/>
      <w:pPr>
        <w:ind w:left="1788"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35941E16"/>
    <w:multiLevelType w:val="hybridMultilevel"/>
    <w:tmpl w:val="39DE7344"/>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3A6041A4"/>
    <w:multiLevelType w:val="hybridMultilevel"/>
    <w:tmpl w:val="DA2C55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4A9445F5"/>
    <w:multiLevelType w:val="hybridMultilevel"/>
    <w:tmpl w:val="FBA0BAC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52FF59B4"/>
    <w:multiLevelType w:val="hybridMultilevel"/>
    <w:tmpl w:val="75C8E19A"/>
    <w:lvl w:ilvl="0" w:tplc="7C3A3E9C">
      <w:start w:val="4"/>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544B0BE5"/>
    <w:multiLevelType w:val="hybridMultilevel"/>
    <w:tmpl w:val="3992E342"/>
    <w:lvl w:ilvl="0" w:tplc="F9F264AA">
      <w:start w:val="1"/>
      <w:numFmt w:val="lowerLetter"/>
      <w:lvlText w:val="%1)"/>
      <w:lvlJc w:val="left"/>
      <w:pPr>
        <w:ind w:left="1080" w:hanging="360"/>
      </w:pPr>
      <w:rPr>
        <w:rFonts w:ascii="Trebuchet MS" w:eastAsia="Times New Roman" w:hAnsi="Trebuchet MS" w:cs="Times New Roman"/>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8">
    <w:nsid w:val="5F452F94"/>
    <w:multiLevelType w:val="hybridMultilevel"/>
    <w:tmpl w:val="DD20993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641845F7"/>
    <w:multiLevelType w:val="hybridMultilevel"/>
    <w:tmpl w:val="9C064108"/>
    <w:lvl w:ilvl="0" w:tplc="0418000F">
      <w:start w:val="1"/>
      <w:numFmt w:val="decimal"/>
      <w:lvlText w:val="%1."/>
      <w:lvlJc w:val="left"/>
      <w:pPr>
        <w:ind w:left="644"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
    <w:nsid w:val="7ED33A92"/>
    <w:multiLevelType w:val="hybridMultilevel"/>
    <w:tmpl w:val="9A16C53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7FD143B0"/>
    <w:multiLevelType w:val="hybridMultilevel"/>
    <w:tmpl w:val="548AC34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7"/>
  </w:num>
  <w:num w:numId="6">
    <w:abstractNumId w:val="11"/>
  </w:num>
  <w:num w:numId="7">
    <w:abstractNumId w:val="1"/>
  </w:num>
  <w:num w:numId="8">
    <w:abstractNumId w:val="10"/>
  </w:num>
  <w:num w:numId="9">
    <w:abstractNumId w:val="3"/>
  </w:num>
  <w:num w:numId="10">
    <w:abstractNumId w:val="9"/>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60"/>
    <w:rsid w:val="00005D34"/>
    <w:rsid w:val="000066C2"/>
    <w:rsid w:val="00031895"/>
    <w:rsid w:val="0005608A"/>
    <w:rsid w:val="000947D3"/>
    <w:rsid w:val="000963D0"/>
    <w:rsid w:val="000C0141"/>
    <w:rsid w:val="00114FE8"/>
    <w:rsid w:val="0015258C"/>
    <w:rsid w:val="001631CC"/>
    <w:rsid w:val="001A316F"/>
    <w:rsid w:val="001A4040"/>
    <w:rsid w:val="00220254"/>
    <w:rsid w:val="00225B22"/>
    <w:rsid w:val="0029485A"/>
    <w:rsid w:val="002B6C6B"/>
    <w:rsid w:val="002B77F4"/>
    <w:rsid w:val="002E65A6"/>
    <w:rsid w:val="00315914"/>
    <w:rsid w:val="00414023"/>
    <w:rsid w:val="004972DE"/>
    <w:rsid w:val="00544960"/>
    <w:rsid w:val="00551C93"/>
    <w:rsid w:val="005A0257"/>
    <w:rsid w:val="005E4F0F"/>
    <w:rsid w:val="00621183"/>
    <w:rsid w:val="00666E95"/>
    <w:rsid w:val="006F301E"/>
    <w:rsid w:val="00721ED7"/>
    <w:rsid w:val="007373DE"/>
    <w:rsid w:val="0074462E"/>
    <w:rsid w:val="00780B87"/>
    <w:rsid w:val="00807196"/>
    <w:rsid w:val="00827B22"/>
    <w:rsid w:val="00856986"/>
    <w:rsid w:val="008A3B47"/>
    <w:rsid w:val="00931EF5"/>
    <w:rsid w:val="009729AE"/>
    <w:rsid w:val="009D098D"/>
    <w:rsid w:val="009E1395"/>
    <w:rsid w:val="00A61916"/>
    <w:rsid w:val="00A83138"/>
    <w:rsid w:val="00AA167C"/>
    <w:rsid w:val="00AB6E3B"/>
    <w:rsid w:val="00B26D16"/>
    <w:rsid w:val="00BB57F4"/>
    <w:rsid w:val="00BB5E01"/>
    <w:rsid w:val="00BE127B"/>
    <w:rsid w:val="00BF5BCC"/>
    <w:rsid w:val="00C32DD8"/>
    <w:rsid w:val="00CB00F5"/>
    <w:rsid w:val="00D24297"/>
    <w:rsid w:val="00D352E0"/>
    <w:rsid w:val="00D72041"/>
    <w:rsid w:val="00D9331E"/>
    <w:rsid w:val="00DD24A5"/>
    <w:rsid w:val="00DE6692"/>
    <w:rsid w:val="00DE6940"/>
    <w:rsid w:val="00E2054F"/>
    <w:rsid w:val="00ED7A92"/>
    <w:rsid w:val="00EE12D7"/>
    <w:rsid w:val="00F87A9F"/>
    <w:rsid w:val="00FC352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BB57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1622</Words>
  <Characters>9412</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13</cp:revision>
  <dcterms:created xsi:type="dcterms:W3CDTF">2016-03-29T15:16:00Z</dcterms:created>
  <dcterms:modified xsi:type="dcterms:W3CDTF">2016-04-27T09:41:00Z</dcterms:modified>
</cp:coreProperties>
</file>